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DD" w:rsidRDefault="00CD1ADD" w:rsidP="004731D3">
      <w:pPr>
        <w:jc w:val="center"/>
        <w:rPr>
          <w:b/>
          <w:sz w:val="28"/>
          <w:szCs w:val="28"/>
        </w:rPr>
      </w:pPr>
    </w:p>
    <w:p w:rsidR="00CD1ADD" w:rsidRDefault="00CD1ADD" w:rsidP="00DC2D31">
      <w:pPr>
        <w:jc w:val="right"/>
        <w:rPr>
          <w:b/>
          <w:sz w:val="28"/>
          <w:szCs w:val="28"/>
        </w:rPr>
      </w:pPr>
      <w:r>
        <w:rPr>
          <w:b/>
          <w:sz w:val="28"/>
          <w:szCs w:val="28"/>
        </w:rPr>
        <w:t>III.</w:t>
      </w:r>
    </w:p>
    <w:p w:rsidR="00C33BBF" w:rsidRDefault="009C1B1A" w:rsidP="00C33BBF">
      <w:pPr>
        <w:jc w:val="center"/>
        <w:rPr>
          <w:b/>
          <w:sz w:val="28"/>
          <w:szCs w:val="28"/>
        </w:rPr>
      </w:pPr>
      <w:r w:rsidRPr="009C1B1A">
        <w:rPr>
          <w:b/>
          <w:sz w:val="28"/>
          <w:szCs w:val="28"/>
        </w:rPr>
        <w:t>Návrh rozšíření programu do dalších základních škol, školních družin, popř. další školských zařízení volného času</w:t>
      </w:r>
    </w:p>
    <w:p w:rsidR="009C1B1A" w:rsidRDefault="009C1B1A" w:rsidP="00C33BBF">
      <w:pPr>
        <w:jc w:val="center"/>
        <w:rPr>
          <w:b/>
          <w:sz w:val="28"/>
          <w:szCs w:val="28"/>
        </w:rPr>
      </w:pPr>
    </w:p>
    <w:p w:rsidR="009C1B1A" w:rsidRDefault="009C1B1A" w:rsidP="00C33BBF">
      <w:pPr>
        <w:jc w:val="center"/>
        <w:rPr>
          <w:b/>
          <w:sz w:val="28"/>
          <w:szCs w:val="28"/>
        </w:rPr>
      </w:pPr>
      <w:r w:rsidRPr="009C1B1A">
        <w:rPr>
          <w:b/>
          <w:sz w:val="28"/>
          <w:szCs w:val="28"/>
        </w:rPr>
        <w:t>Program „Hodina pohybu navíc“ – unikátní řešení</w:t>
      </w:r>
      <w:r>
        <w:rPr>
          <w:b/>
          <w:sz w:val="28"/>
          <w:szCs w:val="28"/>
        </w:rPr>
        <w:t xml:space="preserve"> pro větší dynamiku a atraktivitu školního a volnočasového sportování</w:t>
      </w:r>
    </w:p>
    <w:p w:rsidR="009C1B1A" w:rsidRPr="00347920" w:rsidRDefault="009C1B1A" w:rsidP="00C33BBF">
      <w:pPr>
        <w:jc w:val="center"/>
      </w:pPr>
    </w:p>
    <w:p w:rsidR="009C1B1A" w:rsidRDefault="009C1B1A" w:rsidP="009C1B1A"/>
    <w:p w:rsidR="009C1B1A" w:rsidRPr="009C1B1A" w:rsidRDefault="009C1B1A" w:rsidP="00352E56">
      <w:pPr>
        <w:pStyle w:val="Odstavecseseznamem"/>
        <w:numPr>
          <w:ilvl w:val="0"/>
          <w:numId w:val="4"/>
        </w:numPr>
        <w:rPr>
          <w:b/>
        </w:rPr>
      </w:pPr>
      <w:r w:rsidRPr="009C1B1A">
        <w:rPr>
          <w:b/>
        </w:rPr>
        <w:t>Úvod</w:t>
      </w:r>
    </w:p>
    <w:p w:rsidR="009C1B1A" w:rsidRPr="009C1B1A" w:rsidRDefault="009C1B1A" w:rsidP="009C1B1A">
      <w:pPr>
        <w:rPr>
          <w:b/>
        </w:rPr>
      </w:pPr>
    </w:p>
    <w:p w:rsidR="009C1B1A" w:rsidRDefault="009C1B1A" w:rsidP="009C1B1A">
      <w:pPr>
        <w:jc w:val="both"/>
      </w:pPr>
      <w:r>
        <w:t>Navrhované plošné rozšíření metodiky vyvinuté a pokusně ověřené v projektu „Hodina pohybu navíc“ má ambici vylepšit stav tělesné výchovy</w:t>
      </w:r>
      <w:r w:rsidR="00C576D2">
        <w:t xml:space="preserve"> (nikoliv ve smyslu vyučovacího předmětu)</w:t>
      </w:r>
      <w:r>
        <w:t xml:space="preserve">, potažmo tělesné zdatnosti </w:t>
      </w:r>
      <w:r w:rsidR="00037B31">
        <w:t xml:space="preserve">a </w:t>
      </w:r>
      <w:r w:rsidR="00037B31" w:rsidRPr="00037B31">
        <w:rPr>
          <w:highlight w:val="yellow"/>
        </w:rPr>
        <w:t>zájmu o</w:t>
      </w:r>
      <w:r w:rsidR="00C576D2">
        <w:rPr>
          <w:highlight w:val="yellow"/>
        </w:rPr>
        <w:t> </w:t>
      </w:r>
      <w:r w:rsidR="00037B31" w:rsidRPr="00037B31">
        <w:rPr>
          <w:highlight w:val="yellow"/>
        </w:rPr>
        <w:t>pohyb a sport</w:t>
      </w:r>
      <w:r w:rsidR="00037B31">
        <w:t xml:space="preserve"> </w:t>
      </w:r>
      <w:r>
        <w:t>žáků nižších ročníků prvního stupně ZŠ.</w:t>
      </w:r>
    </w:p>
    <w:p w:rsidR="009C1B1A" w:rsidRDefault="009C1B1A" w:rsidP="009C1B1A">
      <w:pPr>
        <w:jc w:val="both"/>
      </w:pPr>
    </w:p>
    <w:p w:rsidR="00BF5CA9" w:rsidRDefault="009C1B1A" w:rsidP="009C1B1A">
      <w:pPr>
        <w:jc w:val="both"/>
      </w:pPr>
      <w:r>
        <w:t xml:space="preserve">Stav školní TV a pohybového režimu žáků není přímo monitorován; zdroje pro indikaci jeho stavu ale existují. Jedná se o odborný tisk (např. časopis </w:t>
      </w:r>
      <w:r w:rsidRPr="009C1B1A">
        <w:rPr>
          <w:i/>
        </w:rPr>
        <w:t xml:space="preserve">Česká </w:t>
      </w:r>
      <w:proofErr w:type="spellStart"/>
      <w:r w:rsidRPr="009C1B1A">
        <w:rPr>
          <w:i/>
        </w:rPr>
        <w:t>kinantropologie</w:t>
      </w:r>
      <w:proofErr w:type="spellEnd"/>
      <w:r>
        <w:t xml:space="preserve">) a </w:t>
      </w:r>
      <w:r w:rsidRPr="009C1B1A">
        <w:rPr>
          <w:i/>
        </w:rPr>
        <w:t>Tematická zpráva Vzdělávání v tělesné výchově, podpora rozvoje tělesné zdatnosti a pohybových dovedností</w:t>
      </w:r>
      <w:r>
        <w:t xml:space="preserve"> (ČŠI, 2016). Tyto zdroje naznačují určitou spornost kvality tělesné výchovy na prvním stupni. Informace nasvědčují nedostatečné profesní přípravě učitelů a učitelek prvního stupně v moderní </w:t>
      </w:r>
      <w:proofErr w:type="spellStart"/>
      <w:r>
        <w:t>kinantropologii</w:t>
      </w:r>
      <w:proofErr w:type="spellEnd"/>
      <w:r>
        <w:t xml:space="preserve"> a metodice tělesné výchovy a sportu. S tím korelují informace o omluvách žáků z tělesné výchovy a jejich nevalné motivaci ke sportování ve škole a mimo ni (aktivnímu trávení volného času jakožto klíčovému nástroji primární prevence rizikového chování a sociální patologie). </w:t>
      </w:r>
    </w:p>
    <w:p w:rsidR="00BF5CA9" w:rsidRDefault="009C1B1A" w:rsidP="009C1B1A">
      <w:pPr>
        <w:jc w:val="both"/>
      </w:pPr>
      <w:r>
        <w:t xml:space="preserve">Vlastní realizace výuky TV je naopak charakterizovaná jako </w:t>
      </w:r>
      <w:r w:rsidR="00BF5CA9">
        <w:t>didakticky a metodicky</w:t>
      </w:r>
      <w:r>
        <w:t xml:space="preserve"> správná</w:t>
      </w:r>
      <w:r w:rsidR="00BF5CA9">
        <w:t xml:space="preserve"> (</w:t>
      </w:r>
      <w:proofErr w:type="spellStart"/>
      <w:r w:rsidR="00BF5CA9">
        <w:t>srov</w:t>
      </w:r>
      <w:proofErr w:type="spellEnd"/>
      <w:r w:rsidR="00BF5CA9">
        <w:t xml:space="preserve"> ČŠI, 2016, s. 21)</w:t>
      </w:r>
      <w:r>
        <w:t>.</w:t>
      </w:r>
      <w:r w:rsidR="00BF5CA9">
        <w:t xml:space="preserve"> Čteme-li však závěry inspekční činnosti pozorně, shledáme je obecnými a schematickými: „</w:t>
      </w:r>
      <w:r w:rsidR="00BF5CA9">
        <w:rPr>
          <w:sz w:val="23"/>
          <w:szCs w:val="23"/>
        </w:rPr>
        <w:t xml:space="preserve">V 99 % hodin byla zaznamenána aktivita a zájem žáků o výuku. Výuka rozvíjela vzájemnou spolupráci a pozitivní vztahy, posilovala sebepojetí a sebevědomí. Formativní zpětnou vazbu poskytli učitelé žákům v 94,3 % hodin.“ O kvalitě řízení pohybových činností a jejich intenzitě, </w:t>
      </w:r>
      <w:r w:rsidR="00C576D2">
        <w:rPr>
          <w:sz w:val="23"/>
          <w:szCs w:val="23"/>
        </w:rPr>
        <w:t>dynamice, obsahu a zacílení</w:t>
      </w:r>
      <w:r w:rsidR="00BF5CA9">
        <w:rPr>
          <w:sz w:val="23"/>
          <w:szCs w:val="23"/>
        </w:rPr>
        <w:t xml:space="preserve">, o kvalitě interakce, monitorování činností učitelem nebo o podpoře slabším či talentovaným žákům (individualizace) nebo o motivační či hodnotící složce se z této zprávy nedozvíme téměř vůbec. Zpráva popisuje řadu okolností školního sportování (personální, organizační podmínky, speciální formy tělesné výchovy jako jsou plavecké či lyžařské výcviky…), nicméně co do zhodnocení jeho kvality zůstává na povrchu. </w:t>
      </w:r>
    </w:p>
    <w:p w:rsidR="00C576D2" w:rsidRDefault="00C576D2" w:rsidP="009C1B1A">
      <w:pPr>
        <w:jc w:val="both"/>
      </w:pPr>
    </w:p>
    <w:p w:rsidR="00104B26" w:rsidRDefault="00BF5CA9" w:rsidP="009C1B1A">
      <w:pPr>
        <w:jc w:val="both"/>
      </w:pPr>
      <w:r>
        <w:t xml:space="preserve">Kvůli rozpornosti kvalitativně relevantních </w:t>
      </w:r>
      <w:r w:rsidRPr="00BF5CA9">
        <w:t>informací</w:t>
      </w:r>
      <w:r>
        <w:t xml:space="preserve"> o </w:t>
      </w:r>
      <w:r w:rsidRPr="00BF5CA9">
        <w:t>pohybových aktivitách žáků</w:t>
      </w:r>
      <w:r>
        <w:t xml:space="preserve"> ve škole a v zájmových útvarech, jejich malé spolehlivost, a dokonce nedostatku </w:t>
      </w:r>
      <w:r w:rsidR="00C576D2" w:rsidRPr="00C576D2">
        <w:t xml:space="preserve">vyhlásilo </w:t>
      </w:r>
      <w:r>
        <w:t xml:space="preserve">MŠMT </w:t>
      </w:r>
      <w:r w:rsidR="00C576D2">
        <w:t xml:space="preserve">v uplynulých letech </w:t>
      </w:r>
      <w:r>
        <w:t xml:space="preserve">několik pokusných ověřování. Kvalitativní </w:t>
      </w:r>
      <w:r w:rsidR="00104B26">
        <w:t xml:space="preserve">změny v pohybovém režimu, ale i v profesním přesvědčení učitelů a vychovatelů prokazatelně </w:t>
      </w:r>
      <w:r>
        <w:t xml:space="preserve">přineslo </w:t>
      </w:r>
      <w:r w:rsidRPr="00104B26">
        <w:rPr>
          <w:i/>
        </w:rPr>
        <w:t>pokusné ověřování účinnosti programu „Hodina pohybu navíc“</w:t>
      </w:r>
      <w:r>
        <w:t xml:space="preserve">. Na jeho výstupy MŠMT naváže </w:t>
      </w:r>
      <w:r w:rsidRPr="00104B26">
        <w:rPr>
          <w:b/>
          <w:i/>
        </w:rPr>
        <w:t>koordinovanou akcí</w:t>
      </w:r>
      <w:r>
        <w:t xml:space="preserve">, které prvky nové metodiky začlení v několika koordinovaných krocích jak do činnosti školních družin, tak připraví kapacitu pro její úspěšné aplikování v školní TV. Současně </w:t>
      </w:r>
      <w:r w:rsidR="00104B26">
        <w:t xml:space="preserve">bude </w:t>
      </w:r>
      <w:r>
        <w:t>MŠMT v rámci pravidelných revizí realizovaných NÚV koordinovat úp</w:t>
      </w:r>
      <w:r w:rsidR="00104B26">
        <w:t xml:space="preserve">ravu </w:t>
      </w:r>
      <w:r w:rsidR="00104B26" w:rsidRPr="00104B26">
        <w:rPr>
          <w:i/>
        </w:rPr>
        <w:t>R</w:t>
      </w:r>
      <w:r w:rsidRPr="00104B26">
        <w:rPr>
          <w:i/>
        </w:rPr>
        <w:t>ámcového vzdělávacího programu</w:t>
      </w:r>
      <w:r w:rsidR="00104B26" w:rsidRPr="00104B26">
        <w:rPr>
          <w:i/>
        </w:rPr>
        <w:t xml:space="preserve"> </w:t>
      </w:r>
      <w:r w:rsidRPr="00104B26">
        <w:rPr>
          <w:i/>
        </w:rPr>
        <w:t>pro základní vzdělávání</w:t>
      </w:r>
      <w:r>
        <w:t xml:space="preserve"> (RVP ZV), aby </w:t>
      </w:r>
      <w:r w:rsidR="00104B26">
        <w:t>integroval</w:t>
      </w:r>
      <w:r>
        <w:t xml:space="preserve"> moderní </w:t>
      </w:r>
      <w:r w:rsidR="00C576D2">
        <w:t xml:space="preserve">kineziologické </w:t>
      </w:r>
      <w:r>
        <w:t>principy a trendy, z nichž vychází metodika HPN</w:t>
      </w:r>
      <w:r w:rsidR="00104B26">
        <w:t>.</w:t>
      </w:r>
    </w:p>
    <w:p w:rsidR="00104B26" w:rsidRDefault="00104B26" w:rsidP="009C1B1A">
      <w:pPr>
        <w:jc w:val="both"/>
      </w:pPr>
    </w:p>
    <w:p w:rsidR="00510C46" w:rsidRDefault="00510C46">
      <w:pPr>
        <w:rPr>
          <w:b/>
        </w:rPr>
      </w:pPr>
      <w:r>
        <w:rPr>
          <w:b/>
        </w:rPr>
        <w:br w:type="page"/>
      </w:r>
    </w:p>
    <w:p w:rsidR="00104B26" w:rsidRPr="00104B26" w:rsidRDefault="00104B26" w:rsidP="00352E56">
      <w:pPr>
        <w:pStyle w:val="Odstavecseseznamem"/>
        <w:numPr>
          <w:ilvl w:val="0"/>
          <w:numId w:val="4"/>
        </w:numPr>
        <w:rPr>
          <w:b/>
        </w:rPr>
      </w:pPr>
      <w:r w:rsidRPr="00104B26">
        <w:rPr>
          <w:b/>
        </w:rPr>
        <w:lastRenderedPageBreak/>
        <w:t>Metodika (didaktický program) HPN</w:t>
      </w:r>
      <w:r>
        <w:rPr>
          <w:b/>
        </w:rPr>
        <w:t xml:space="preserve"> a změna pohybových aktivit žáků</w:t>
      </w:r>
    </w:p>
    <w:p w:rsidR="00104B26" w:rsidRDefault="00104B26" w:rsidP="009C1B1A">
      <w:pPr>
        <w:jc w:val="both"/>
      </w:pPr>
    </w:p>
    <w:p w:rsidR="009C1B1A" w:rsidRDefault="00C576D2" w:rsidP="009C1B1A">
      <w:pPr>
        <w:jc w:val="both"/>
      </w:pPr>
      <w:r>
        <w:t xml:space="preserve">Vedoucí </w:t>
      </w:r>
      <w:r w:rsidR="009C1B1A">
        <w:t xml:space="preserve">metodici sportovních svazů olympijských kolektivních sportovních her </w:t>
      </w:r>
      <w:proofErr w:type="gramStart"/>
      <w:r w:rsidR="009C1B1A">
        <w:t>vyvinuly</w:t>
      </w:r>
      <w:proofErr w:type="gramEnd"/>
      <w:r w:rsidR="009C1B1A">
        <w:t xml:space="preserve"> metodiku rozvoje společného pohybového základu pro tyto sporty, která by mohla překonat jak statické organizační formy, tak nerovné zapojení žáků s různými předpoklady v oblasti pohybového rozvoje a vztahu ke sportu, které tyto formy často determinují. Metodika je pokusně ověřována v adekvátním vzorku škol (školních družin) pod vedením speciálně proškolených trenérů, učitelů TV a evaluačních pracovníků (svazových trenérů se speciálním školením).</w:t>
      </w:r>
    </w:p>
    <w:p w:rsidR="009C1B1A" w:rsidRDefault="00104B26" w:rsidP="009C1B1A">
      <w:pPr>
        <w:jc w:val="both"/>
      </w:pPr>
      <w:r>
        <w:t xml:space="preserve">Metodika má na základě dílčích výstupů pokusného ověřování potenciál proměnit školní tělesnou výchovy a zatraktivnit pohybové činnosti žáků mladšího školního věku. </w:t>
      </w:r>
      <w:r w:rsidR="009C1B1A">
        <w:t xml:space="preserve">Aby </w:t>
      </w:r>
      <w:r>
        <w:t xml:space="preserve">ale </w:t>
      </w:r>
      <w:r w:rsidR="009C1B1A">
        <w:t xml:space="preserve">měla metodika dostatečný dopad na celou kulturu školního sportu a školních pohybových aktivit, je třeba zvážit nejen její kvalitu, hodnocení expertů, kteří se ve školách podíleli na jejím pokusném ověření, ale i </w:t>
      </w:r>
      <w:r w:rsidR="009C1B1A" w:rsidRPr="00104B26">
        <w:rPr>
          <w:b/>
          <w:i/>
        </w:rPr>
        <w:t>schopnost školského terénu absorbovat takovou metodiku</w:t>
      </w:r>
      <w:r w:rsidR="009C1B1A">
        <w:t xml:space="preserve"> v její </w:t>
      </w:r>
      <w:r w:rsidR="009C1B1A" w:rsidRPr="00104B26">
        <w:rPr>
          <w:b/>
          <w:i/>
        </w:rPr>
        <w:t>nezkreslené podobě</w:t>
      </w:r>
      <w:r w:rsidR="009C1B1A">
        <w:t xml:space="preserve">. Jedině jejím plným adaptováním do různých pohybových aktivit žáků pod kvalitním vedením, a to v různých školních i mimoškolních činnostech může přispět k fundamentální kvalitativní proměně tělesné výchovy, o niž </w:t>
      </w:r>
      <w:proofErr w:type="spellStart"/>
      <w:r w:rsidR="009C1B1A">
        <w:t>kinantropologická</w:t>
      </w:r>
      <w:proofErr w:type="spellEnd"/>
      <w:r w:rsidR="009C1B1A">
        <w:t xml:space="preserve"> společnost dlouhá léta usiluje.</w:t>
      </w:r>
    </w:p>
    <w:p w:rsidR="00104B26" w:rsidRDefault="00104B26" w:rsidP="009C1B1A">
      <w:pPr>
        <w:jc w:val="both"/>
      </w:pPr>
    </w:p>
    <w:p w:rsidR="009C1B1A" w:rsidRDefault="00104B26" w:rsidP="009C1B1A">
      <w:pPr>
        <w:jc w:val="both"/>
      </w:pPr>
      <w:r>
        <w:t>Násle</w:t>
      </w:r>
      <w:r w:rsidR="00D87BC2">
        <w:t xml:space="preserve">dující materiál navrhuje </w:t>
      </w:r>
      <w:r w:rsidR="00313986">
        <w:t>postup</w:t>
      </w:r>
      <w:r>
        <w:t xml:space="preserve">, jak může MŠMT dostupnými prostředky takovou proměnu iniciovat a přispět k její udržitelnosti. Úspěšná iniciace a plošná implementace programu, který má potenciál </w:t>
      </w:r>
      <w:r w:rsidR="00313986">
        <w:t>v</w:t>
      </w:r>
      <w:r>
        <w:t xml:space="preserve">nést změnu do tak komplexní oblasti lidské činnosti, jakou je školní (a mimoškolní) </w:t>
      </w:r>
      <w:r w:rsidR="009C1B1A">
        <w:t>vzdělávání a výchov</w:t>
      </w:r>
      <w:r>
        <w:t>a,</w:t>
      </w:r>
      <w:r w:rsidR="009C1B1A">
        <w:t xml:space="preserve"> vyžaduje </w:t>
      </w:r>
      <w:r>
        <w:t>odborně a manažersky</w:t>
      </w:r>
      <w:r w:rsidR="009C1B1A">
        <w:t xml:space="preserve"> promyšlenou intervenci</w:t>
      </w:r>
      <w:r>
        <w:t>, která spočívá ve změnách standardů a předpisů pro školy, ale</w:t>
      </w:r>
      <w:r w:rsidR="009C1B1A">
        <w:t xml:space="preserve"> zároveň </w:t>
      </w:r>
      <w:r>
        <w:t xml:space="preserve">obsahuje </w:t>
      </w:r>
      <w:r w:rsidR="009C1B1A">
        <w:t>motiva</w:t>
      </w:r>
      <w:r>
        <w:t>ční prvky pro</w:t>
      </w:r>
      <w:r w:rsidR="009C1B1A">
        <w:t xml:space="preserve"> vedení škol</w:t>
      </w:r>
      <w:r>
        <w:t xml:space="preserve">, aby očekávaná změna byla </w:t>
      </w:r>
      <w:r w:rsidR="00313986">
        <w:t xml:space="preserve">v reálné výuce </w:t>
      </w:r>
      <w:r>
        <w:t>vyžadována.</w:t>
      </w:r>
      <w:r w:rsidR="00313986">
        <w:t xml:space="preserve"> V neposlední řadě je pro takovou implementaci nutné zajisti trvalou a otevřenou metodickou podporu a dostatečné materiální podmínky</w:t>
      </w:r>
      <w:r>
        <w:t xml:space="preserve"> V souladu s aktuální </w:t>
      </w:r>
      <w:proofErr w:type="spellStart"/>
      <w:r>
        <w:t>pedeutologickou</w:t>
      </w:r>
      <w:proofErr w:type="spellEnd"/>
      <w:r>
        <w:t xml:space="preserve"> literaturou (např. </w:t>
      </w:r>
      <w:proofErr w:type="spellStart"/>
      <w:r>
        <w:t>Hargreaves</w:t>
      </w:r>
      <w:proofErr w:type="spellEnd"/>
      <w:r>
        <w:t xml:space="preserve">, </w:t>
      </w:r>
      <w:proofErr w:type="spellStart"/>
      <w:r>
        <w:t>Fullan</w:t>
      </w:r>
      <w:proofErr w:type="spellEnd"/>
      <w:r>
        <w:t xml:space="preserve">, </w:t>
      </w:r>
      <w:proofErr w:type="spellStart"/>
      <w:r>
        <w:t>Levine</w:t>
      </w:r>
      <w:proofErr w:type="spellEnd"/>
      <w:r>
        <w:t xml:space="preserve"> aj.) lze jen takto soustředěnou a koordinovanou akcí </w:t>
      </w:r>
      <w:r w:rsidR="009C1B1A">
        <w:t xml:space="preserve">přispět </w:t>
      </w:r>
      <w:r>
        <w:t xml:space="preserve">nejen k iniciaci změny a jejímu </w:t>
      </w:r>
      <w:r w:rsidRPr="00104B26">
        <w:rPr>
          <w:i/>
        </w:rPr>
        <w:t>formáln</w:t>
      </w:r>
      <w:r>
        <w:rPr>
          <w:i/>
        </w:rPr>
        <w:t>ímu</w:t>
      </w:r>
      <w:r>
        <w:t xml:space="preserve"> přenesení do výuky a života školy (např. formou úpravy ŠVP či rozvrhu), ale </w:t>
      </w:r>
      <w:r w:rsidR="009C1B1A">
        <w:t xml:space="preserve">k její trvalé udržitelnosti. </w:t>
      </w:r>
    </w:p>
    <w:p w:rsidR="00510C46" w:rsidRDefault="00510C46" w:rsidP="009C1B1A">
      <w:pPr>
        <w:jc w:val="both"/>
      </w:pPr>
    </w:p>
    <w:p w:rsidR="009C1B1A" w:rsidRDefault="009C1B1A" w:rsidP="009C1B1A">
      <w:pPr>
        <w:jc w:val="both"/>
      </w:pPr>
      <w:r>
        <w:t>Materiál navrhuje za tímto účelem koordinovanou „akci“, která by zahrnula:</w:t>
      </w:r>
    </w:p>
    <w:p w:rsidR="009C1B1A" w:rsidRDefault="00510C46" w:rsidP="00352E56">
      <w:pPr>
        <w:pStyle w:val="Odstavecseseznamem"/>
        <w:numPr>
          <w:ilvl w:val="0"/>
          <w:numId w:val="3"/>
        </w:numPr>
        <w:spacing w:after="200" w:line="276" w:lineRule="auto"/>
        <w:jc w:val="both"/>
      </w:pPr>
      <w:r>
        <w:t xml:space="preserve">ovlivnění </w:t>
      </w:r>
      <w:r w:rsidR="009C1B1A" w:rsidRPr="00AC3CB4">
        <w:t>kurikul</w:t>
      </w:r>
      <w:r>
        <w:t>a</w:t>
      </w:r>
      <w:r w:rsidR="009C1B1A" w:rsidRPr="00AC3CB4">
        <w:t xml:space="preserve"> počátečního vzdělávání a profesní př</w:t>
      </w:r>
      <w:r>
        <w:t>ípravy učitelů;</w:t>
      </w:r>
    </w:p>
    <w:p w:rsidR="009C1B1A" w:rsidRDefault="009C1B1A" w:rsidP="00352E56">
      <w:pPr>
        <w:pStyle w:val="Odstavecseseznamem"/>
        <w:numPr>
          <w:ilvl w:val="0"/>
          <w:numId w:val="3"/>
        </w:numPr>
        <w:spacing w:after="200" w:line="276" w:lineRule="auto"/>
        <w:jc w:val="both"/>
      </w:pPr>
      <w:r>
        <w:t xml:space="preserve">rozvoj </w:t>
      </w:r>
      <w:r w:rsidR="00510C46">
        <w:t xml:space="preserve">nabídky </w:t>
      </w:r>
      <w:r>
        <w:t>pohybových dovedností žáků ve školních družinách</w:t>
      </w:r>
      <w:r w:rsidR="00510C46">
        <w:t>;</w:t>
      </w:r>
    </w:p>
    <w:p w:rsidR="009C1B1A" w:rsidRDefault="009C1B1A" w:rsidP="00352E56">
      <w:pPr>
        <w:pStyle w:val="Odstavecseseznamem"/>
        <w:numPr>
          <w:ilvl w:val="0"/>
          <w:numId w:val="3"/>
        </w:numPr>
        <w:spacing w:after="200" w:line="276" w:lineRule="auto"/>
        <w:jc w:val="both"/>
      </w:pPr>
      <w:r>
        <w:t>obsahové a organizační propojení činnosti škol, školských zařízení a sportovních klubů</w:t>
      </w:r>
      <w:r w:rsidR="00510C46">
        <w:t>;</w:t>
      </w:r>
    </w:p>
    <w:p w:rsidR="009C1B1A" w:rsidRDefault="009C1B1A" w:rsidP="00352E56">
      <w:pPr>
        <w:pStyle w:val="Odstavecseseznamem"/>
        <w:numPr>
          <w:ilvl w:val="0"/>
          <w:numId w:val="3"/>
        </w:numPr>
        <w:spacing w:after="200" w:line="276" w:lineRule="auto"/>
        <w:jc w:val="both"/>
      </w:pPr>
      <w:r>
        <w:t>systém dalšího profesního vzdělávání pedagogických pracovníků v dané oblasti</w:t>
      </w:r>
      <w:r w:rsidR="00510C46">
        <w:t>;</w:t>
      </w:r>
    </w:p>
    <w:p w:rsidR="009C1B1A" w:rsidRDefault="009C1B1A" w:rsidP="00352E56">
      <w:pPr>
        <w:pStyle w:val="Odstavecseseznamem"/>
        <w:numPr>
          <w:ilvl w:val="0"/>
          <w:numId w:val="3"/>
        </w:numPr>
        <w:spacing w:after="200" w:line="276" w:lineRule="auto"/>
        <w:jc w:val="both"/>
      </w:pPr>
      <w:r>
        <w:t>rozvojový program nabízený plošně základním školám – na rozvoj kvality pohybových aktivit pro mladší školní žáky pod vedením kvalifikovaných trenérů/učitelů TV</w:t>
      </w:r>
      <w:r w:rsidR="00510C46">
        <w:t>;</w:t>
      </w:r>
    </w:p>
    <w:p w:rsidR="009C1B1A" w:rsidRDefault="00510C46" w:rsidP="00352E56">
      <w:pPr>
        <w:pStyle w:val="Odstavecseseznamem"/>
        <w:numPr>
          <w:ilvl w:val="0"/>
          <w:numId w:val="3"/>
        </w:numPr>
        <w:spacing w:after="200" w:line="276" w:lineRule="auto"/>
        <w:jc w:val="both"/>
      </w:pPr>
      <w:r>
        <w:t>úpravu kurikula základního vzdělávání v rámci jeho pravidelné revize;</w:t>
      </w:r>
    </w:p>
    <w:p w:rsidR="00510C46" w:rsidRDefault="00510C46" w:rsidP="00352E56">
      <w:pPr>
        <w:pStyle w:val="Odstavecseseznamem"/>
        <w:numPr>
          <w:ilvl w:val="0"/>
          <w:numId w:val="3"/>
        </w:numPr>
        <w:spacing w:after="200" w:line="276" w:lineRule="auto"/>
        <w:jc w:val="both"/>
      </w:pPr>
      <w:r>
        <w:t>vytvoření a udržování útlého (</w:t>
      </w:r>
      <w:proofErr w:type="spellStart"/>
      <w:r w:rsidRPr="00C576D2">
        <w:rPr>
          <w:i/>
        </w:rPr>
        <w:t>lean</w:t>
      </w:r>
      <w:proofErr w:type="spellEnd"/>
      <w:r>
        <w:t>) koordinačního týmu s doporučujícími a zpětnovazebními kompetencemi vůči centru;</w:t>
      </w:r>
    </w:p>
    <w:p w:rsidR="00510C46" w:rsidRDefault="00510C46" w:rsidP="00352E56">
      <w:pPr>
        <w:pStyle w:val="Odstavecseseznamem"/>
        <w:numPr>
          <w:ilvl w:val="0"/>
          <w:numId w:val="3"/>
        </w:numPr>
        <w:spacing w:after="200" w:line="276" w:lineRule="auto"/>
        <w:jc w:val="both"/>
      </w:pPr>
      <w:r>
        <w:t>realizace podpory společenství učitelů, vychovatelů, vyučujících vysokých škol a rodičů na bázi regionálních festivalů sportu.</w:t>
      </w:r>
    </w:p>
    <w:p w:rsidR="009C1B1A" w:rsidRDefault="009C1B1A" w:rsidP="009C1B1A">
      <w:pPr>
        <w:jc w:val="both"/>
      </w:pPr>
      <w:r>
        <w:t>Tuto akci by koordinoval</w:t>
      </w:r>
      <w:r w:rsidR="00510C46">
        <w:t>y ve spolupráci</w:t>
      </w:r>
      <w:r>
        <w:t xml:space="preserve"> sekce vzdělávání a sportu a mládeže</w:t>
      </w:r>
      <w:r w:rsidR="00510C46">
        <w:t xml:space="preserve"> MŠMT</w:t>
      </w:r>
      <w:r>
        <w:t xml:space="preserve">. K realizaci by ministerstvo využilo existující </w:t>
      </w:r>
      <w:r w:rsidR="00510C46">
        <w:t>koordinační</w:t>
      </w:r>
      <w:r>
        <w:t xml:space="preserve"> tým složený ze zástupců </w:t>
      </w:r>
      <w:r w:rsidRPr="00481CC5">
        <w:t xml:space="preserve">České unie </w:t>
      </w:r>
      <w:r w:rsidRPr="00481CC5">
        <w:lastRenderedPageBreak/>
        <w:t>sportu</w:t>
      </w:r>
      <w:r>
        <w:t xml:space="preserve">, fakult připravujících učitele, dotčených </w:t>
      </w:r>
      <w:r w:rsidRPr="00481CC5">
        <w:t>asociací ve vzdělávání</w:t>
      </w:r>
      <w:r>
        <w:t>,</w:t>
      </w:r>
      <w:r w:rsidRPr="00481CC5">
        <w:t xml:space="preserve"> </w:t>
      </w:r>
      <w:r>
        <w:t>MŠMT, NÚV</w:t>
      </w:r>
      <w:r w:rsidR="00510C46">
        <w:t xml:space="preserve"> a</w:t>
      </w:r>
      <w:r>
        <w:t xml:space="preserve"> NIDV</w:t>
      </w:r>
      <w:r w:rsidR="00510C46">
        <w:t>. Přizvána by byla také ČŠI</w:t>
      </w:r>
      <w:r>
        <w:t xml:space="preserve">. </w:t>
      </w:r>
      <w:r w:rsidR="00510C46">
        <w:t>Navrženou</w:t>
      </w:r>
      <w:r>
        <w:t xml:space="preserve"> akci </w:t>
      </w:r>
      <w:r w:rsidR="00510C46">
        <w:t xml:space="preserve">doporučujeme realizovat jako </w:t>
      </w:r>
      <w:r w:rsidR="00510C46" w:rsidRPr="00510C46">
        <w:rPr>
          <w:b/>
          <w:i/>
        </w:rPr>
        <w:t>nedělitelný komplex</w:t>
      </w:r>
      <w:r w:rsidR="00510C46">
        <w:t>,</w:t>
      </w:r>
      <w:r>
        <w:t xml:space="preserve"> jako dlouhodobou</w:t>
      </w:r>
      <w:r w:rsidR="00510C46">
        <w:t xml:space="preserve"> intervenci </w:t>
      </w:r>
      <w:r>
        <w:t xml:space="preserve">kombinující systematickou podporu jednotlivých pedagogických pracovníků, realizujících škol, s oporou </w:t>
      </w:r>
      <w:r w:rsidR="00510C46">
        <w:t xml:space="preserve">v </w:t>
      </w:r>
      <w:r>
        <w:t>ucelené, nerozporné komunikační strategie v rámci vzdělávacího systému, vč. jeho řídících, metodických a kontrolních složek.</w:t>
      </w:r>
    </w:p>
    <w:p w:rsidR="009C1B1A" w:rsidRDefault="009C1B1A" w:rsidP="00D51B1F">
      <w:pPr>
        <w:spacing w:after="120"/>
        <w:jc w:val="both"/>
      </w:pPr>
    </w:p>
    <w:p w:rsidR="009C1B1A" w:rsidRPr="00510C46" w:rsidRDefault="00510C46" w:rsidP="00352E56">
      <w:pPr>
        <w:pStyle w:val="Odstavecseseznamem"/>
        <w:numPr>
          <w:ilvl w:val="0"/>
          <w:numId w:val="4"/>
        </w:numPr>
        <w:rPr>
          <w:b/>
        </w:rPr>
      </w:pPr>
      <w:r w:rsidRPr="00510C46">
        <w:rPr>
          <w:b/>
        </w:rPr>
        <w:t>Východiska</w:t>
      </w:r>
    </w:p>
    <w:p w:rsidR="00510C46" w:rsidRDefault="00510C46" w:rsidP="00D51B1F">
      <w:pPr>
        <w:spacing w:after="120"/>
        <w:jc w:val="both"/>
      </w:pPr>
    </w:p>
    <w:p w:rsidR="00510C46" w:rsidRDefault="00510C46" w:rsidP="00510C46">
      <w:pPr>
        <w:spacing w:after="120"/>
        <w:jc w:val="both"/>
      </w:pPr>
      <w:r w:rsidRPr="00510C46">
        <w:t>Předložený materiál shrn</w:t>
      </w:r>
      <w:r>
        <w:t>uje</w:t>
      </w:r>
      <w:r w:rsidRPr="00510C46">
        <w:t xml:space="preserve"> poznatky pokusného ověřování účinnosti programu „Hodina pohybu navíc“ a na základě jeho dosavadních výsledků</w:t>
      </w:r>
      <w:r>
        <w:t xml:space="preserve"> </w:t>
      </w:r>
      <w:r w:rsidRPr="00510C46">
        <w:t>a jejich odborné interpretace</w:t>
      </w:r>
      <w:r>
        <w:t>,</w:t>
      </w:r>
      <w:r w:rsidRPr="00510C46">
        <w:t xml:space="preserve"> </w:t>
      </w:r>
      <w:r>
        <w:t>s přihlédnutím k dalším odborným zdrojům,</w:t>
      </w:r>
      <w:r w:rsidRPr="00510C46">
        <w:t xml:space="preserve"> </w:t>
      </w:r>
      <w:r>
        <w:t>doporučuje</w:t>
      </w:r>
      <w:r w:rsidRPr="00510C46">
        <w:t xml:space="preserve"> další postup, který by mohl umožnit plošné rozšíření (upraveného) programu </w:t>
      </w:r>
      <w:r>
        <w:t>HPN do</w:t>
      </w:r>
      <w:r w:rsidRPr="00510C46">
        <w:t xml:space="preserve"> primárního vzdělávání. </w:t>
      </w:r>
      <w:r>
        <w:t>Zavedením prvků HPN do života školy a školní družiny bude</w:t>
      </w:r>
      <w:r w:rsidRPr="00510C46">
        <w:t xml:space="preserve"> významně ovlivn</w:t>
      </w:r>
      <w:r>
        <w:t>ěna kvalita</w:t>
      </w:r>
      <w:r w:rsidRPr="00510C46">
        <w:t xml:space="preserve"> pohybových aktivit pro děti a žáky </w:t>
      </w:r>
      <w:r>
        <w:t>a též</w:t>
      </w:r>
      <w:r w:rsidRPr="00510C46">
        <w:t xml:space="preserve"> profesní rozvoj pedagogických pracovníků, vychovatelek školních družin i jejich kolegů v zájmových školských zařízeních pro volný čas dětí a žáků.</w:t>
      </w:r>
    </w:p>
    <w:p w:rsidR="008930CF" w:rsidRPr="00510C46" w:rsidRDefault="008930CF" w:rsidP="00510C46">
      <w:pPr>
        <w:spacing w:after="120"/>
        <w:jc w:val="both"/>
      </w:pPr>
    </w:p>
    <w:p w:rsidR="00510C46" w:rsidRPr="008930CF" w:rsidRDefault="008930CF" w:rsidP="00352E56">
      <w:pPr>
        <w:pStyle w:val="Odstavecseseznamem"/>
        <w:numPr>
          <w:ilvl w:val="1"/>
          <w:numId w:val="4"/>
        </w:numPr>
        <w:rPr>
          <w:b/>
        </w:rPr>
      </w:pPr>
      <w:r w:rsidRPr="008930CF">
        <w:rPr>
          <w:b/>
        </w:rPr>
        <w:t xml:space="preserve">Pokusné ověřování </w:t>
      </w:r>
      <w:r w:rsidR="00C576D2">
        <w:rPr>
          <w:b/>
        </w:rPr>
        <w:t xml:space="preserve">účinnosti </w:t>
      </w:r>
      <w:r w:rsidRPr="008930CF">
        <w:rPr>
          <w:b/>
        </w:rPr>
        <w:t>programu „Hodina pohybu navíc“</w:t>
      </w:r>
    </w:p>
    <w:p w:rsidR="00510C46" w:rsidRPr="00510C46" w:rsidRDefault="00510C46" w:rsidP="00510C46">
      <w:pPr>
        <w:spacing w:after="120"/>
        <w:jc w:val="both"/>
      </w:pPr>
      <w:r w:rsidRPr="00510C46">
        <w:t xml:space="preserve">Metodické doporučení pro zkvalitnění volnočasových sportovních a pohybových činností žáků 1. – 3. ročníků základní školy ověřovali po dobu jednoho školního roku vyškolení učitelé, trenéři a evaluační pracovníci v 250 odděleních školních družin při 160 ZŠ vždy jednu hodinu týdně. Do aktivit se zapojilo 7000 žáků těchto škol. Pokusné ověřování se týkalo jak proměn motivace a postojů žáků, tak se snažilo zachytit i trend úrazovosti, nemocnosti nebo omluvenek ze sportování. Dále bylo ověřeno, zda taková akce přinese proměny nejen přímo zúčastněným, ale nějak se projeví i v účasti žáků ve sportovních klubech, v zapojení vychovatelů školních družin do těchto aktivit apod. Ověřování se zaměřilo také na zhodnocení přínosu v oblasti výkonnosti žáků, ale jen projektivními metodami. </w:t>
      </w:r>
    </w:p>
    <w:p w:rsidR="00510C46" w:rsidRPr="00510C46" w:rsidRDefault="00510C46" w:rsidP="008930CF">
      <w:pPr>
        <w:jc w:val="both"/>
      </w:pPr>
      <w:r w:rsidRPr="00510C46">
        <w:t xml:space="preserve">Ověřování v horizontu jediného školního roku přineslo jen potvrzení, že promyšlené a řízené aktivity, které jsou podpořeny finančními zdroji a kvalitním dalším vzděláváním učitelů/trenérů angažují žáky pro cíle takové intervence a motivují je pro pohybové aktivity. Nižší nebo téměř žádný efekt nebylo možné zjistit v proměně škol, v zapojení dalších pedagogických pracovníků nebo v dopadu na rodinné prostředí, nemluvě o výkonnosti žáků. Proto </w:t>
      </w:r>
      <w:r w:rsidR="008930CF">
        <w:t>evaluační zpráva interpretující zjištěné výsledky programu ve školách doporučovala</w:t>
      </w:r>
      <w:r w:rsidRPr="00510C46">
        <w:t xml:space="preserve"> v dalším roce realizace tohoto pokusného ověřování – </w:t>
      </w:r>
      <w:r w:rsidR="008930CF">
        <w:t>což je jen</w:t>
      </w:r>
      <w:r w:rsidRPr="00510C46">
        <w:t xml:space="preserve"> </w:t>
      </w:r>
      <w:r w:rsidR="008930CF">
        <w:t xml:space="preserve">nezbytné </w:t>
      </w:r>
      <w:r w:rsidRPr="00510C46">
        <w:t>přechodné o</w:t>
      </w:r>
      <w:r w:rsidR="008930CF">
        <w:t>patření na cestě k plošné implementaci</w:t>
      </w:r>
      <w:r w:rsidRPr="00510C46">
        <w:t xml:space="preserve"> programu – naplánovat a </w:t>
      </w:r>
      <w:r w:rsidR="008930CF">
        <w:t>zahájit</w:t>
      </w:r>
      <w:r w:rsidRPr="00510C46">
        <w:t xml:space="preserve"> promyšlenou, systematickou a koherentní akci, která by:</w:t>
      </w:r>
    </w:p>
    <w:p w:rsidR="00510C46" w:rsidRPr="00510C46" w:rsidRDefault="00510C46" w:rsidP="00352E56">
      <w:pPr>
        <w:numPr>
          <w:ilvl w:val="0"/>
          <w:numId w:val="5"/>
        </w:numPr>
        <w:ind w:left="760" w:hanging="357"/>
        <w:jc w:val="both"/>
      </w:pPr>
      <w:r w:rsidRPr="00510C46">
        <w:t>nastartovala kvalitativní změnu pohybových aktivit ve všech školách a školských zařízeních</w:t>
      </w:r>
      <w:r w:rsidR="008930CF">
        <w:t>;</w:t>
      </w:r>
    </w:p>
    <w:p w:rsidR="00510C46" w:rsidRPr="00510C46" w:rsidRDefault="00510C46" w:rsidP="00352E56">
      <w:pPr>
        <w:numPr>
          <w:ilvl w:val="0"/>
          <w:numId w:val="5"/>
        </w:numPr>
        <w:ind w:left="760" w:hanging="357"/>
        <w:jc w:val="both"/>
      </w:pPr>
      <w:r w:rsidRPr="00510C46">
        <w:t>proměnila myšlení pedagogických pracovníků, kteří tyto aktivity realizují</w:t>
      </w:r>
      <w:r w:rsidR="008930CF">
        <w:t>;</w:t>
      </w:r>
    </w:p>
    <w:p w:rsidR="00510C46" w:rsidRPr="00510C46" w:rsidRDefault="008930CF" w:rsidP="00352E56">
      <w:pPr>
        <w:numPr>
          <w:ilvl w:val="0"/>
          <w:numId w:val="5"/>
        </w:numPr>
        <w:ind w:left="760" w:hanging="357"/>
        <w:jc w:val="both"/>
      </w:pPr>
      <w:r>
        <w:t>ovlivnila</w:t>
      </w:r>
      <w:r w:rsidR="00510C46" w:rsidRPr="00510C46">
        <w:t xml:space="preserve"> profesní přípravu a doplnila nabídku dalšího vzdělávání pedagogických pracovníků v oblasti školního pohybu a sportu</w:t>
      </w:r>
      <w:r>
        <w:t>;</w:t>
      </w:r>
    </w:p>
    <w:p w:rsidR="00510C46" w:rsidRPr="00510C46" w:rsidRDefault="00510C46" w:rsidP="00352E56">
      <w:pPr>
        <w:numPr>
          <w:ilvl w:val="0"/>
          <w:numId w:val="5"/>
        </w:numPr>
        <w:ind w:left="760" w:hanging="357"/>
        <w:jc w:val="both"/>
      </w:pPr>
      <w:r w:rsidRPr="00510C46">
        <w:t>motivovala školy, aby uvažovaly o takové proměně</w:t>
      </w:r>
      <w:r w:rsidR="008930CF">
        <w:t>;</w:t>
      </w:r>
    </w:p>
    <w:p w:rsidR="00510C46" w:rsidRDefault="00510C46" w:rsidP="00352E56">
      <w:pPr>
        <w:numPr>
          <w:ilvl w:val="0"/>
          <w:numId w:val="5"/>
        </w:numPr>
        <w:spacing w:after="120"/>
        <w:jc w:val="both"/>
      </w:pPr>
      <w:r w:rsidRPr="00510C46">
        <w:t>zajistila udržitelné financování takové změny</w:t>
      </w:r>
      <w:r w:rsidR="008930CF">
        <w:t>.</w:t>
      </w:r>
    </w:p>
    <w:p w:rsidR="008930CF" w:rsidRPr="00510C46" w:rsidRDefault="008930CF" w:rsidP="008930CF">
      <w:pPr>
        <w:spacing w:after="120"/>
        <w:ind w:left="405"/>
        <w:jc w:val="both"/>
      </w:pPr>
    </w:p>
    <w:p w:rsidR="00510C46" w:rsidRPr="008930CF" w:rsidRDefault="008930CF" w:rsidP="00352E56">
      <w:pPr>
        <w:pStyle w:val="Odstavecseseznamem"/>
        <w:numPr>
          <w:ilvl w:val="1"/>
          <w:numId w:val="4"/>
        </w:numPr>
        <w:rPr>
          <w:b/>
        </w:rPr>
      </w:pPr>
      <w:r w:rsidRPr="008930CF">
        <w:rPr>
          <w:b/>
        </w:rPr>
        <w:t>Dostupné systémové n</w:t>
      </w:r>
      <w:r w:rsidR="00510C46" w:rsidRPr="008930CF">
        <w:rPr>
          <w:b/>
        </w:rPr>
        <w:t>ástroje změny</w:t>
      </w:r>
    </w:p>
    <w:p w:rsidR="00510C46" w:rsidRDefault="00510C46" w:rsidP="00510C46">
      <w:pPr>
        <w:spacing w:after="120"/>
        <w:jc w:val="both"/>
      </w:pPr>
      <w:r w:rsidRPr="00510C46">
        <w:t xml:space="preserve">V uvažované akci musí být zajištěn jak </w:t>
      </w:r>
      <w:r w:rsidRPr="008930CF">
        <w:rPr>
          <w:b/>
          <w:i/>
        </w:rPr>
        <w:t>přímý vliv MŠMT na probíhající aktivity</w:t>
      </w:r>
      <w:r w:rsidRPr="00510C46">
        <w:t xml:space="preserve">, tak musí být využit </w:t>
      </w:r>
      <w:r w:rsidRPr="008930CF">
        <w:rPr>
          <w:b/>
          <w:i/>
        </w:rPr>
        <w:t>formální i neformální vliv instituce</w:t>
      </w:r>
      <w:r w:rsidRPr="00510C46">
        <w:t xml:space="preserve"> k postupnému utváření žádoucích změn v činnostech, nástrojích a aktivitách, které MŠMT bezprostředně neřídí či nestanovuje jim </w:t>
      </w:r>
      <w:r w:rsidRPr="00510C46">
        <w:lastRenderedPageBreak/>
        <w:t xml:space="preserve">rámec pro jejich činnost. Vše musí v duchu teorie sociokulturní změny zastřešovat jednotná, </w:t>
      </w:r>
      <w:r w:rsidRPr="008930CF">
        <w:rPr>
          <w:b/>
          <w:i/>
        </w:rPr>
        <w:t>nerozporná komunikace</w:t>
      </w:r>
      <w:r w:rsidRPr="00510C46">
        <w:t xml:space="preserve"> a </w:t>
      </w:r>
      <w:r w:rsidRPr="008930CF">
        <w:rPr>
          <w:b/>
          <w:i/>
        </w:rPr>
        <w:t>podpora</w:t>
      </w:r>
      <w:r w:rsidRPr="00510C46">
        <w:t xml:space="preserve"> žádoucí změny morálního </w:t>
      </w:r>
      <w:r w:rsidR="008930CF">
        <w:t>charakteru</w:t>
      </w:r>
      <w:r w:rsidRPr="00510C46">
        <w:t>.</w:t>
      </w:r>
    </w:p>
    <w:p w:rsidR="008930CF" w:rsidRPr="00510C46" w:rsidRDefault="008930CF" w:rsidP="00510C46">
      <w:pPr>
        <w:spacing w:after="120"/>
        <w:jc w:val="both"/>
      </w:pPr>
    </w:p>
    <w:p w:rsidR="00510C46" w:rsidRPr="008930CF" w:rsidRDefault="00510C46" w:rsidP="00352E56">
      <w:pPr>
        <w:pStyle w:val="Odstavecseseznamem"/>
        <w:numPr>
          <w:ilvl w:val="1"/>
          <w:numId w:val="4"/>
        </w:numPr>
        <w:rPr>
          <w:b/>
        </w:rPr>
      </w:pPr>
      <w:r w:rsidRPr="008930CF">
        <w:rPr>
          <w:b/>
        </w:rPr>
        <w:t>Bezprostřední a zprostředkovaný vliv MŠMT</w:t>
      </w:r>
    </w:p>
    <w:p w:rsidR="008930CF" w:rsidRDefault="00510C46" w:rsidP="008930CF">
      <w:pPr>
        <w:jc w:val="both"/>
      </w:pPr>
      <w:r w:rsidRPr="00510C46">
        <w:t>Mezi nástroje přímého ovlivnění kapacit ve škole a kvality tam prováděných výchovných a vzdělávacích činností patří zejména</w:t>
      </w:r>
      <w:r w:rsidR="008930CF">
        <w:t>:</w:t>
      </w:r>
    </w:p>
    <w:p w:rsidR="008930CF" w:rsidRDefault="008930CF" w:rsidP="00352E56">
      <w:pPr>
        <w:pStyle w:val="Odstavecseseznamem"/>
        <w:numPr>
          <w:ilvl w:val="0"/>
          <w:numId w:val="8"/>
        </w:numPr>
        <w:spacing w:after="120"/>
        <w:jc w:val="both"/>
      </w:pPr>
      <w:r>
        <w:t>nástroje finanční;</w:t>
      </w:r>
    </w:p>
    <w:p w:rsidR="008930CF" w:rsidRDefault="008930CF" w:rsidP="00352E56">
      <w:pPr>
        <w:pStyle w:val="Odstavecseseznamem"/>
        <w:numPr>
          <w:ilvl w:val="0"/>
          <w:numId w:val="8"/>
        </w:numPr>
        <w:spacing w:after="120"/>
        <w:jc w:val="both"/>
      </w:pPr>
      <w:r>
        <w:t>příslušné kurikulární rámce;</w:t>
      </w:r>
    </w:p>
    <w:p w:rsidR="008930CF" w:rsidRDefault="00510C46" w:rsidP="00352E56">
      <w:pPr>
        <w:pStyle w:val="Odstavecseseznamem"/>
        <w:numPr>
          <w:ilvl w:val="0"/>
          <w:numId w:val="8"/>
        </w:numPr>
        <w:spacing w:after="120"/>
        <w:jc w:val="both"/>
      </w:pPr>
      <w:r w:rsidRPr="00510C46">
        <w:t>metodi</w:t>
      </w:r>
      <w:r w:rsidR="008930CF">
        <w:t>cká podpora a další vzdělávání;</w:t>
      </w:r>
    </w:p>
    <w:p w:rsidR="008930CF" w:rsidRDefault="00510C46" w:rsidP="00352E56">
      <w:pPr>
        <w:pStyle w:val="Odstavecseseznamem"/>
        <w:numPr>
          <w:ilvl w:val="0"/>
          <w:numId w:val="8"/>
        </w:numPr>
        <w:spacing w:after="120"/>
        <w:jc w:val="both"/>
      </w:pPr>
      <w:r w:rsidRPr="00510C46">
        <w:t>podpor</w:t>
      </w:r>
      <w:r w:rsidR="008930CF">
        <w:t>a politická a mediální, morální;</w:t>
      </w:r>
    </w:p>
    <w:p w:rsidR="008930CF" w:rsidRDefault="00510C46" w:rsidP="00352E56">
      <w:pPr>
        <w:pStyle w:val="Odstavecseseznamem"/>
        <w:numPr>
          <w:ilvl w:val="0"/>
          <w:numId w:val="8"/>
        </w:numPr>
        <w:spacing w:after="120"/>
        <w:jc w:val="both"/>
      </w:pPr>
      <w:r w:rsidRPr="00510C46">
        <w:t>kontrolní</w:t>
      </w:r>
      <w:r w:rsidR="008930CF">
        <w:t xml:space="preserve"> činnost.</w:t>
      </w:r>
    </w:p>
    <w:p w:rsidR="008930CF" w:rsidRDefault="00510C46" w:rsidP="008930CF">
      <w:pPr>
        <w:spacing w:after="120"/>
        <w:jc w:val="both"/>
      </w:pPr>
      <w:r w:rsidRPr="00510C46">
        <w:t>Mezi nepřímé nástroje ovlivnění náleží zejména</w:t>
      </w:r>
      <w:r w:rsidR="008930CF">
        <w:t>:</w:t>
      </w:r>
    </w:p>
    <w:p w:rsidR="008930CF" w:rsidRDefault="00510C46" w:rsidP="00352E56">
      <w:pPr>
        <w:pStyle w:val="Odstavecseseznamem"/>
        <w:numPr>
          <w:ilvl w:val="0"/>
          <w:numId w:val="9"/>
        </w:numPr>
        <w:spacing w:after="120"/>
        <w:jc w:val="both"/>
      </w:pPr>
      <w:r w:rsidRPr="00510C46">
        <w:t>proměna kurikul počáteční přípravy pedagogických pracovníků na vysokých školách</w:t>
      </w:r>
      <w:r w:rsidR="008930CF">
        <w:t>;</w:t>
      </w:r>
    </w:p>
    <w:p w:rsidR="008930CF" w:rsidRDefault="00510C46" w:rsidP="00352E56">
      <w:pPr>
        <w:pStyle w:val="Odstavecseseznamem"/>
        <w:numPr>
          <w:ilvl w:val="0"/>
          <w:numId w:val="9"/>
        </w:numPr>
        <w:spacing w:after="120"/>
        <w:jc w:val="both"/>
      </w:pPr>
      <w:r w:rsidRPr="00510C46">
        <w:t>podpor</w:t>
      </w:r>
      <w:r w:rsidR="008930CF">
        <w:t>a</w:t>
      </w:r>
      <w:r w:rsidRPr="00510C46">
        <w:t xml:space="preserve"> bližší spolupráce škol a sportovních oddílů, např. zapojováním sportovních trenérů jako vedoucích volnočasových aktivit žáků ve školních družinách a SVČ spolu s kmenovými lektory a vychov</w:t>
      </w:r>
      <w:r w:rsidR="008930CF">
        <w:t>ateli těchto školských zařízení;</w:t>
      </w:r>
    </w:p>
    <w:p w:rsidR="00510C46" w:rsidRDefault="008930CF" w:rsidP="00352E56">
      <w:pPr>
        <w:pStyle w:val="Odstavecseseznamem"/>
        <w:numPr>
          <w:ilvl w:val="0"/>
          <w:numId w:val="9"/>
        </w:numPr>
        <w:spacing w:after="120"/>
        <w:jc w:val="both"/>
      </w:pPr>
      <w:r>
        <w:t>podpora utváření profesní komunity vytvářením živé báze setkávání, soutěžení a sdílení příkladů inspirativní praxe a praktických nápadů (</w:t>
      </w:r>
      <w:proofErr w:type="spellStart"/>
      <w:r>
        <w:t>minikonference</w:t>
      </w:r>
      <w:proofErr w:type="spellEnd"/>
      <w:r>
        <w:t>, festivaly) aj.</w:t>
      </w:r>
    </w:p>
    <w:p w:rsidR="008930CF" w:rsidRPr="00510C46" w:rsidRDefault="008930CF" w:rsidP="008930CF">
      <w:pPr>
        <w:spacing w:after="120"/>
        <w:ind w:left="60"/>
        <w:jc w:val="both"/>
      </w:pPr>
    </w:p>
    <w:p w:rsidR="00510C46" w:rsidRPr="008930CF" w:rsidRDefault="00510C46" w:rsidP="00352E56">
      <w:pPr>
        <w:pStyle w:val="Odstavecseseznamem"/>
        <w:numPr>
          <w:ilvl w:val="1"/>
          <w:numId w:val="4"/>
        </w:numPr>
        <w:rPr>
          <w:b/>
        </w:rPr>
      </w:pPr>
      <w:r w:rsidRPr="008930CF">
        <w:rPr>
          <w:b/>
        </w:rPr>
        <w:t>Nástroje rozvoje pedagogických kapacit ve školách</w:t>
      </w:r>
    </w:p>
    <w:p w:rsidR="00510C46" w:rsidRDefault="00510C46" w:rsidP="00510C46">
      <w:pPr>
        <w:spacing w:after="120"/>
        <w:jc w:val="both"/>
      </w:pPr>
      <w:r w:rsidRPr="00510C46">
        <w:t xml:space="preserve">Ústřední myšlenkou musí být, že kvalitativní změna ve vzdělávání vyžaduje čas na adaptování zásad a principů do „hlav a srdcí“ nositelů aktivit, získání </w:t>
      </w:r>
      <w:r w:rsidRPr="00510C46">
        <w:rPr>
          <w:i/>
        </w:rPr>
        <w:t>prototypických rutin</w:t>
      </w:r>
      <w:r w:rsidRPr="00510C46">
        <w:t xml:space="preserve"> a</w:t>
      </w:r>
      <w:r w:rsidR="00C576D2">
        <w:t> </w:t>
      </w:r>
      <w:r w:rsidRPr="00510C46">
        <w:t xml:space="preserve">v souvislosti s tím uvolnění kapacit pro rozvoj správného rozhodování v konkrétních, </w:t>
      </w:r>
      <w:proofErr w:type="spellStart"/>
      <w:r w:rsidRPr="00510C46">
        <w:t>nepredikovatelných</w:t>
      </w:r>
      <w:proofErr w:type="spellEnd"/>
      <w:r w:rsidRPr="00510C46">
        <w:t xml:space="preserve"> situacích výuky a vzdělávání (zde konkrétně vedení pohybových a</w:t>
      </w:r>
      <w:r w:rsidR="008930CF">
        <w:t> </w:t>
      </w:r>
      <w:r w:rsidRPr="00510C46">
        <w:t xml:space="preserve">sportovních aktivit). Rutinní zvládnutí základů, které je nutnou podmínkou kvalitativní změny, lze dosáhnout řízeným DVPP v rozsahu desítek hodin práce ve škole a samostudia ukončeným ověřením znalostí a dovedností, zejména potřebných rutin a certifikací těchto dovedností. </w:t>
      </w:r>
    </w:p>
    <w:p w:rsidR="008930CF" w:rsidRPr="00510C46" w:rsidRDefault="008930CF" w:rsidP="00510C46">
      <w:pPr>
        <w:spacing w:after="120"/>
        <w:jc w:val="both"/>
      </w:pPr>
    </w:p>
    <w:p w:rsidR="00510C46" w:rsidRPr="008930CF" w:rsidRDefault="00510C46" w:rsidP="00352E56">
      <w:pPr>
        <w:pStyle w:val="Odstavecseseznamem"/>
        <w:numPr>
          <w:ilvl w:val="1"/>
          <w:numId w:val="4"/>
        </w:numPr>
        <w:rPr>
          <w:b/>
        </w:rPr>
      </w:pPr>
      <w:r w:rsidRPr="008930CF">
        <w:rPr>
          <w:b/>
        </w:rPr>
        <w:t>Efektivita nástrojů – motivování škol</w:t>
      </w:r>
    </w:p>
    <w:p w:rsidR="00510C46" w:rsidRPr="00510C46" w:rsidRDefault="00510C46" w:rsidP="00510C46">
      <w:pPr>
        <w:spacing w:after="120"/>
        <w:jc w:val="both"/>
      </w:pPr>
      <w:r w:rsidRPr="00510C46">
        <w:t>Aby bylo nabízení takových dlouhodobých a náročných forem vzdělávání efektivní, je třeba iniciovat zájem a motivaci škol a jejich pracovníků k tomuto vzdělávání. Podle našeho názoru to není možno činit jen deklarováním nebo kontrolou, ale zejména přímou finanční podporou s dobře definovaným kritérii. Tedy rozvojovým programem. Podmínkou nutnou, ale ne postačující, je zároveň komunikační strategie. Tedy vše nástroje v bezprostředním vlivu MŠMT.</w:t>
      </w:r>
    </w:p>
    <w:p w:rsidR="00510C46" w:rsidRPr="00510C46" w:rsidRDefault="00510C46" w:rsidP="00510C46">
      <w:pPr>
        <w:spacing w:after="120"/>
        <w:jc w:val="both"/>
      </w:pPr>
      <w:r w:rsidRPr="00510C46">
        <w:t>Školy budou motivovány nejen přímými nástroji. Jako zprostředkovaný nástroj pedagogických změn je často popisována profesní komunita. Domněnka, že je to právě výhradně inspirace v rámci profesní komunity, která je relativně nejsnáze přenositelná, a</w:t>
      </w:r>
      <w:r w:rsidR="00602395">
        <w:t> </w:t>
      </w:r>
      <w:r w:rsidRPr="00510C46">
        <w:t xml:space="preserve">může proto sama o sobě iniciovat proměnu, se ale ukázala v uplynulých letech realizace kurikulární reformy jako lichá. Zkušenosti ukazují, že změna bývá uchopena principiálně a proměna je fundamentální (vy smyslu zamýšlených principů a kvality), je-li strategicky řízena a to za využití dobře provázaného mixu intervencí, které jsou koordinované a společná koordinace činností má synergický efekt. V tomto ohledu je samozřejmě pedagogická </w:t>
      </w:r>
      <w:r w:rsidRPr="00510C46">
        <w:lastRenderedPageBreak/>
        <w:t>profesní komunita důležitým prvkem a je třeba s ní pracovat ve smyslu dobře mířené komunikace a podpory setkávání.</w:t>
      </w:r>
    </w:p>
    <w:p w:rsidR="00510C46" w:rsidRPr="00510C46" w:rsidRDefault="00510C46" w:rsidP="00510C46">
      <w:pPr>
        <w:spacing w:after="120"/>
        <w:jc w:val="both"/>
      </w:pPr>
      <w:r w:rsidRPr="00510C46">
        <w:t>Motivace podpůrnými prvky může a měla by b</w:t>
      </w:r>
      <w:r w:rsidR="00B91212">
        <w:t>ý</w:t>
      </w:r>
      <w:r w:rsidRPr="00510C46">
        <w:t xml:space="preserve">t doplněna kvalitní kontrolní činností, která může být zajištěna v rámci činnosti </w:t>
      </w:r>
      <w:r w:rsidR="00C576D2">
        <w:t xml:space="preserve">České </w:t>
      </w:r>
      <w:r w:rsidRPr="00510C46">
        <w:t xml:space="preserve">školní inspekce i v rámci finanční kontroly finančních nástrojů použitých jako motivace. Poradní funkci v kontrolní činnosti by měly mít také sportovní svazy, které program vyvinuly, a to prostřednictvím </w:t>
      </w:r>
      <w:r w:rsidR="00C576D2">
        <w:t>koordinačního</w:t>
      </w:r>
      <w:r w:rsidRPr="00510C46">
        <w:t xml:space="preserve"> týmu akce</w:t>
      </w:r>
      <w:r w:rsidR="00C576D2">
        <w:t xml:space="preserve"> s poradními a doporučujícími kompetencemi</w:t>
      </w:r>
      <w:r w:rsidRPr="00510C46">
        <w:t>.</w:t>
      </w:r>
    </w:p>
    <w:p w:rsidR="00510C46" w:rsidRPr="00510C46" w:rsidRDefault="00510C46" w:rsidP="00510C46">
      <w:pPr>
        <w:spacing w:after="120"/>
        <w:jc w:val="both"/>
        <w:sectPr w:rsidR="00510C46" w:rsidRPr="00510C46" w:rsidSect="00510C46">
          <w:headerReference w:type="default" r:id="rId8"/>
          <w:footerReference w:type="default" r:id="rId9"/>
          <w:pgSz w:w="11906" w:h="16838"/>
          <w:pgMar w:top="1417" w:right="1417" w:bottom="1417" w:left="1417" w:header="708" w:footer="708" w:gutter="0"/>
          <w:cols w:space="708"/>
          <w:docGrid w:linePitch="360"/>
        </w:sectPr>
      </w:pPr>
    </w:p>
    <w:p w:rsidR="00510C46" w:rsidRPr="008930CF" w:rsidRDefault="00510C46" w:rsidP="00352E56">
      <w:pPr>
        <w:pStyle w:val="Odstavecseseznamem"/>
        <w:numPr>
          <w:ilvl w:val="0"/>
          <w:numId w:val="4"/>
        </w:numPr>
        <w:rPr>
          <w:b/>
        </w:rPr>
      </w:pPr>
      <w:r w:rsidRPr="008930CF">
        <w:rPr>
          <w:b/>
        </w:rPr>
        <w:lastRenderedPageBreak/>
        <w:t>Synergie – jak ji docílit?</w:t>
      </w:r>
    </w:p>
    <w:p w:rsidR="00510C46" w:rsidRPr="00510C46" w:rsidRDefault="00510C46" w:rsidP="00510C46">
      <w:pPr>
        <w:spacing w:after="120"/>
        <w:jc w:val="both"/>
      </w:pPr>
      <w:r w:rsidRPr="00510C46">
        <w:t>Další sdělení bude strukturováno jako tabulka – v ní budou k jednotlivým hodnotám a iniciativám posilujícím synergii přiřazeny také jejich nositelé a podíl MŠMT na jejich iniciaci a udržitelnosti:</w:t>
      </w:r>
    </w:p>
    <w:tbl>
      <w:tblPr>
        <w:tblStyle w:val="Mkatabulky"/>
        <w:tblW w:w="14283" w:type="dxa"/>
        <w:tblLayout w:type="fixed"/>
        <w:tblLook w:val="04A0"/>
      </w:tblPr>
      <w:tblGrid>
        <w:gridCol w:w="1384"/>
        <w:gridCol w:w="2835"/>
        <w:gridCol w:w="2552"/>
        <w:gridCol w:w="1842"/>
        <w:gridCol w:w="1418"/>
        <w:gridCol w:w="2977"/>
        <w:gridCol w:w="1275"/>
      </w:tblGrid>
      <w:tr w:rsidR="00510C46" w:rsidRPr="00510C46" w:rsidTr="00510C46">
        <w:tc>
          <w:tcPr>
            <w:tcW w:w="1384" w:type="dxa"/>
          </w:tcPr>
          <w:p w:rsidR="00510C46" w:rsidRPr="00510C46" w:rsidRDefault="00510C46" w:rsidP="00510C46">
            <w:pPr>
              <w:spacing w:after="120"/>
              <w:jc w:val="both"/>
            </w:pPr>
            <w:r w:rsidRPr="00510C46">
              <w:t>Hodnota</w:t>
            </w:r>
          </w:p>
        </w:tc>
        <w:tc>
          <w:tcPr>
            <w:tcW w:w="2835" w:type="dxa"/>
          </w:tcPr>
          <w:p w:rsidR="00510C46" w:rsidRPr="00510C46" w:rsidRDefault="00510C46" w:rsidP="00510C46">
            <w:pPr>
              <w:spacing w:after="120"/>
              <w:jc w:val="both"/>
            </w:pPr>
            <w:r w:rsidRPr="00510C46">
              <w:t>Nástroj</w:t>
            </w:r>
          </w:p>
        </w:tc>
        <w:tc>
          <w:tcPr>
            <w:tcW w:w="2552" w:type="dxa"/>
          </w:tcPr>
          <w:p w:rsidR="00510C46" w:rsidRPr="00510C46" w:rsidRDefault="00510C46" w:rsidP="00510C46">
            <w:pPr>
              <w:spacing w:after="120"/>
              <w:jc w:val="both"/>
            </w:pPr>
            <w:r w:rsidRPr="00510C46">
              <w:t>Nositel</w:t>
            </w:r>
          </w:p>
        </w:tc>
        <w:tc>
          <w:tcPr>
            <w:tcW w:w="1842" w:type="dxa"/>
          </w:tcPr>
          <w:p w:rsidR="00510C46" w:rsidRPr="00510C46" w:rsidRDefault="00510C46" w:rsidP="00510C46">
            <w:pPr>
              <w:spacing w:after="120"/>
              <w:jc w:val="both"/>
            </w:pPr>
            <w:r w:rsidRPr="00510C46">
              <w:t>Časový horizont</w:t>
            </w:r>
          </w:p>
        </w:tc>
        <w:tc>
          <w:tcPr>
            <w:tcW w:w="1418" w:type="dxa"/>
          </w:tcPr>
          <w:p w:rsidR="00510C46" w:rsidRPr="00510C46" w:rsidRDefault="00510C46" w:rsidP="00510C46">
            <w:pPr>
              <w:spacing w:after="120"/>
              <w:jc w:val="both"/>
            </w:pPr>
            <w:r w:rsidRPr="00510C46">
              <w:t>MŠMT</w:t>
            </w:r>
          </w:p>
        </w:tc>
        <w:tc>
          <w:tcPr>
            <w:tcW w:w="2977" w:type="dxa"/>
          </w:tcPr>
          <w:p w:rsidR="00510C46" w:rsidRPr="00510C46" w:rsidRDefault="00510C46" w:rsidP="00510C46">
            <w:pPr>
              <w:spacing w:after="120"/>
              <w:jc w:val="both"/>
            </w:pPr>
            <w:r w:rsidRPr="00510C46">
              <w:t>Vliv v systému</w:t>
            </w:r>
          </w:p>
        </w:tc>
        <w:tc>
          <w:tcPr>
            <w:tcW w:w="1275" w:type="dxa"/>
          </w:tcPr>
          <w:p w:rsidR="00510C46" w:rsidRPr="00510C46" w:rsidRDefault="00510C46" w:rsidP="00510C46">
            <w:pPr>
              <w:spacing w:after="120"/>
              <w:jc w:val="both"/>
            </w:pPr>
            <w:r w:rsidRPr="00510C46">
              <w:t xml:space="preserve">Vliv </w:t>
            </w:r>
          </w:p>
        </w:tc>
      </w:tr>
      <w:tr w:rsidR="00510C46" w:rsidRPr="00510C46" w:rsidTr="00510C46">
        <w:tc>
          <w:tcPr>
            <w:tcW w:w="1384" w:type="dxa"/>
          </w:tcPr>
          <w:p w:rsidR="00510C46" w:rsidRPr="00510C46" w:rsidRDefault="00510C46" w:rsidP="00510C46">
            <w:pPr>
              <w:spacing w:after="120"/>
              <w:jc w:val="both"/>
            </w:pPr>
            <w:r w:rsidRPr="00510C46">
              <w:t>Společné principy</w:t>
            </w:r>
          </w:p>
        </w:tc>
        <w:tc>
          <w:tcPr>
            <w:tcW w:w="2835" w:type="dxa"/>
          </w:tcPr>
          <w:p w:rsidR="00510C46" w:rsidRPr="00510C46" w:rsidRDefault="00510C46" w:rsidP="00510C46">
            <w:pPr>
              <w:spacing w:after="120"/>
              <w:jc w:val="both"/>
            </w:pPr>
            <w:r w:rsidRPr="00510C46">
              <w:t xml:space="preserve">Jednotné, centrální řízení </w:t>
            </w:r>
          </w:p>
        </w:tc>
        <w:tc>
          <w:tcPr>
            <w:tcW w:w="2552" w:type="dxa"/>
          </w:tcPr>
          <w:p w:rsidR="00510C46" w:rsidRPr="00510C46" w:rsidRDefault="00510C46" w:rsidP="00510C46">
            <w:pPr>
              <w:spacing w:after="120"/>
              <w:jc w:val="both"/>
            </w:pPr>
            <w:r w:rsidRPr="00510C46">
              <w:t>Řídící tým zahrnující nejvýznamnější hráče</w:t>
            </w:r>
          </w:p>
        </w:tc>
        <w:tc>
          <w:tcPr>
            <w:tcW w:w="1842" w:type="dxa"/>
          </w:tcPr>
          <w:p w:rsidR="00510C46" w:rsidRPr="00510C46" w:rsidRDefault="00510C46" w:rsidP="00510C46">
            <w:pPr>
              <w:spacing w:after="120"/>
              <w:jc w:val="both"/>
            </w:pPr>
            <w:r w:rsidRPr="00510C46">
              <w:t>Po celou dobu akce</w:t>
            </w:r>
          </w:p>
        </w:tc>
        <w:tc>
          <w:tcPr>
            <w:tcW w:w="1418" w:type="dxa"/>
          </w:tcPr>
          <w:p w:rsidR="00510C46" w:rsidRPr="00510C46" w:rsidRDefault="00510C46" w:rsidP="00510C46">
            <w:pPr>
              <w:spacing w:after="120"/>
              <w:jc w:val="both"/>
            </w:pPr>
            <w:r w:rsidRPr="00510C46">
              <w:t>Financuje, je členem</w:t>
            </w:r>
          </w:p>
        </w:tc>
        <w:tc>
          <w:tcPr>
            <w:tcW w:w="2977" w:type="dxa"/>
          </w:tcPr>
          <w:p w:rsidR="00510C46" w:rsidRPr="00510C46" w:rsidRDefault="00510C46" w:rsidP="00510C46">
            <w:pPr>
              <w:spacing w:after="120"/>
              <w:jc w:val="both"/>
            </w:pPr>
            <w:r w:rsidRPr="00510C46">
              <w:t>Poradní funkce vůči MŠMT, do určité míry rozhodovací (schvalovací) uvnitř akce</w:t>
            </w:r>
          </w:p>
          <w:p w:rsidR="00510C46" w:rsidRPr="00510C46" w:rsidRDefault="00510C46" w:rsidP="00510C46">
            <w:pPr>
              <w:spacing w:after="120"/>
              <w:jc w:val="both"/>
            </w:pPr>
            <w:r w:rsidRPr="00510C46">
              <w:t>Diskusní, evaluační a plánovací funkce v rozvíjení akce</w:t>
            </w:r>
          </w:p>
        </w:tc>
        <w:tc>
          <w:tcPr>
            <w:tcW w:w="1275" w:type="dxa"/>
          </w:tcPr>
          <w:p w:rsidR="00510C46" w:rsidRPr="00510C46" w:rsidRDefault="00510C46" w:rsidP="00510C46">
            <w:pPr>
              <w:spacing w:after="120"/>
              <w:jc w:val="both"/>
            </w:pPr>
            <w:r w:rsidRPr="00510C46">
              <w:t xml:space="preserve">Přímý </w:t>
            </w:r>
          </w:p>
        </w:tc>
      </w:tr>
      <w:tr w:rsidR="00510C46" w:rsidRPr="00510C46" w:rsidTr="00510C46">
        <w:tc>
          <w:tcPr>
            <w:tcW w:w="1384" w:type="dxa"/>
          </w:tcPr>
          <w:p w:rsidR="00510C46" w:rsidRPr="00510C46" w:rsidRDefault="00510C46" w:rsidP="00510C46">
            <w:pPr>
              <w:spacing w:after="120"/>
              <w:jc w:val="both"/>
            </w:pPr>
            <w:r w:rsidRPr="00510C46">
              <w:t>Dosažení kvality</w:t>
            </w:r>
          </w:p>
        </w:tc>
        <w:tc>
          <w:tcPr>
            <w:tcW w:w="2835" w:type="dxa"/>
          </w:tcPr>
          <w:p w:rsidR="00510C46" w:rsidRPr="00510C46" w:rsidRDefault="00510C46" w:rsidP="00510C46">
            <w:pPr>
              <w:spacing w:after="120"/>
              <w:jc w:val="both"/>
            </w:pPr>
            <w:r w:rsidRPr="00510C46">
              <w:t>Příležitost k učení - kvalitní nabídka adekvátního DVPP (dlouhodobé, vedené profesionály, udržující živou komunitu příjemců a absolventů)</w:t>
            </w:r>
          </w:p>
        </w:tc>
        <w:tc>
          <w:tcPr>
            <w:tcW w:w="2552" w:type="dxa"/>
          </w:tcPr>
          <w:p w:rsidR="00510C46" w:rsidRPr="00510C46" w:rsidRDefault="00510C46" w:rsidP="00510C46">
            <w:pPr>
              <w:spacing w:after="120"/>
              <w:jc w:val="both"/>
            </w:pPr>
            <w:r w:rsidRPr="00510C46">
              <w:t>NÚV/NIDV</w:t>
            </w:r>
          </w:p>
        </w:tc>
        <w:tc>
          <w:tcPr>
            <w:tcW w:w="1842" w:type="dxa"/>
          </w:tcPr>
          <w:p w:rsidR="00510C46" w:rsidRPr="00510C46" w:rsidRDefault="00510C46" w:rsidP="00510C46">
            <w:pPr>
              <w:spacing w:after="120"/>
              <w:jc w:val="both"/>
            </w:pPr>
            <w:r w:rsidRPr="00510C46">
              <w:t>Po celou dobu akce</w:t>
            </w:r>
          </w:p>
        </w:tc>
        <w:tc>
          <w:tcPr>
            <w:tcW w:w="1418" w:type="dxa"/>
          </w:tcPr>
          <w:p w:rsidR="00510C46" w:rsidRPr="00510C46" w:rsidRDefault="00510C46" w:rsidP="00510C46">
            <w:pPr>
              <w:spacing w:after="120"/>
              <w:jc w:val="both"/>
            </w:pPr>
            <w:r w:rsidRPr="00510C46">
              <w:t>Financuje, řídí kvalitu (akredituje)</w:t>
            </w:r>
          </w:p>
        </w:tc>
        <w:tc>
          <w:tcPr>
            <w:tcW w:w="2977" w:type="dxa"/>
          </w:tcPr>
          <w:p w:rsidR="00510C46" w:rsidRPr="00510C46" w:rsidRDefault="00510C46" w:rsidP="00510C46">
            <w:pPr>
              <w:spacing w:after="120"/>
              <w:jc w:val="both"/>
            </w:pPr>
            <w:r w:rsidRPr="00510C46">
              <w:t>Metodická podpora</w:t>
            </w:r>
          </w:p>
        </w:tc>
        <w:tc>
          <w:tcPr>
            <w:tcW w:w="1275" w:type="dxa"/>
          </w:tcPr>
          <w:p w:rsidR="00510C46" w:rsidRPr="00510C46" w:rsidRDefault="00510C46" w:rsidP="00510C46">
            <w:pPr>
              <w:spacing w:after="120"/>
              <w:jc w:val="both"/>
            </w:pPr>
            <w:r w:rsidRPr="00510C46">
              <w:t xml:space="preserve">Přímý </w:t>
            </w:r>
          </w:p>
        </w:tc>
      </w:tr>
      <w:tr w:rsidR="00510C46" w:rsidRPr="00510C46" w:rsidTr="00510C46">
        <w:tc>
          <w:tcPr>
            <w:tcW w:w="1384" w:type="dxa"/>
          </w:tcPr>
          <w:p w:rsidR="00510C46" w:rsidRPr="00510C46" w:rsidRDefault="00510C46" w:rsidP="00510C46">
            <w:pPr>
              <w:spacing w:after="120"/>
              <w:jc w:val="both"/>
            </w:pPr>
            <w:r w:rsidRPr="00510C46">
              <w:t>Udržení a rozvoj kvality</w:t>
            </w:r>
          </w:p>
        </w:tc>
        <w:tc>
          <w:tcPr>
            <w:tcW w:w="2835" w:type="dxa"/>
          </w:tcPr>
          <w:p w:rsidR="00510C46" w:rsidRPr="00510C46" w:rsidRDefault="00510C46" w:rsidP="00510C46">
            <w:pPr>
              <w:spacing w:after="120"/>
              <w:jc w:val="both"/>
            </w:pPr>
            <w:r w:rsidRPr="00510C46">
              <w:t>Dlouhodobé a nerozporné působení</w:t>
            </w:r>
          </w:p>
        </w:tc>
        <w:tc>
          <w:tcPr>
            <w:tcW w:w="2552" w:type="dxa"/>
          </w:tcPr>
          <w:p w:rsidR="00510C46" w:rsidRPr="00510C46" w:rsidRDefault="00510C46" w:rsidP="00510C46">
            <w:pPr>
              <w:spacing w:after="120"/>
              <w:jc w:val="both"/>
            </w:pPr>
            <w:r w:rsidRPr="00510C46">
              <w:t>MŠMT, NÚV, NIDV, VŠ, SŠ, svazy, asociace</w:t>
            </w:r>
          </w:p>
        </w:tc>
        <w:tc>
          <w:tcPr>
            <w:tcW w:w="1842" w:type="dxa"/>
          </w:tcPr>
          <w:p w:rsidR="00510C46" w:rsidRPr="00510C46" w:rsidRDefault="00510C46" w:rsidP="00510C46">
            <w:pPr>
              <w:spacing w:after="120"/>
              <w:jc w:val="both"/>
            </w:pPr>
            <w:r w:rsidRPr="00510C46">
              <w:t>Po celou dobu akce; zejména v prvních letech nutné!</w:t>
            </w:r>
          </w:p>
        </w:tc>
        <w:tc>
          <w:tcPr>
            <w:tcW w:w="1418" w:type="dxa"/>
          </w:tcPr>
          <w:p w:rsidR="00510C46" w:rsidRPr="00510C46" w:rsidRDefault="00510C46" w:rsidP="00510C46">
            <w:pPr>
              <w:spacing w:after="120"/>
              <w:jc w:val="both"/>
            </w:pPr>
            <w:r w:rsidRPr="00510C46">
              <w:t>Koordinuje, má iniciativu, nastavuje agendu</w:t>
            </w:r>
          </w:p>
        </w:tc>
        <w:tc>
          <w:tcPr>
            <w:tcW w:w="2977" w:type="dxa"/>
          </w:tcPr>
          <w:p w:rsidR="00510C46" w:rsidRPr="00510C46" w:rsidRDefault="00510C46" w:rsidP="00510C46">
            <w:pPr>
              <w:spacing w:after="120"/>
              <w:jc w:val="both"/>
            </w:pPr>
            <w:r w:rsidRPr="00510C46">
              <w:t>Inspiruje, řídí, určuje trendy</w:t>
            </w:r>
          </w:p>
        </w:tc>
        <w:tc>
          <w:tcPr>
            <w:tcW w:w="1275" w:type="dxa"/>
          </w:tcPr>
          <w:p w:rsidR="00510C46" w:rsidRPr="00510C46" w:rsidRDefault="00510C46" w:rsidP="00510C46">
            <w:pPr>
              <w:spacing w:after="120"/>
              <w:jc w:val="both"/>
            </w:pPr>
            <w:r w:rsidRPr="00510C46">
              <w:t>Částečně přímý</w:t>
            </w:r>
          </w:p>
        </w:tc>
      </w:tr>
      <w:tr w:rsidR="00510C46" w:rsidRPr="00510C46" w:rsidTr="00510C46">
        <w:tc>
          <w:tcPr>
            <w:tcW w:w="1384" w:type="dxa"/>
          </w:tcPr>
          <w:p w:rsidR="00510C46" w:rsidRPr="00510C46" w:rsidRDefault="00510C46" w:rsidP="00510C46">
            <w:pPr>
              <w:spacing w:after="120"/>
              <w:jc w:val="both"/>
            </w:pPr>
            <w:r w:rsidRPr="00510C46">
              <w:t>Udržení a rozvoj kvality</w:t>
            </w:r>
          </w:p>
        </w:tc>
        <w:tc>
          <w:tcPr>
            <w:tcW w:w="2835" w:type="dxa"/>
          </w:tcPr>
          <w:p w:rsidR="00510C46" w:rsidRPr="00510C46" w:rsidRDefault="00510C46" w:rsidP="00510C46">
            <w:pPr>
              <w:spacing w:after="120"/>
              <w:jc w:val="both"/>
            </w:pPr>
            <w:r w:rsidRPr="00510C46">
              <w:t>Udržitelný a předvídatelný finanční nástroj; rozvojový program s fixní dotací na školu a systém a jasnými akceptačními pravidly!)</w:t>
            </w:r>
          </w:p>
        </w:tc>
        <w:tc>
          <w:tcPr>
            <w:tcW w:w="2552" w:type="dxa"/>
          </w:tcPr>
          <w:p w:rsidR="00510C46" w:rsidRPr="00510C46" w:rsidRDefault="00510C46" w:rsidP="00510C46">
            <w:pPr>
              <w:spacing w:after="120"/>
              <w:jc w:val="both"/>
            </w:pPr>
            <w:r w:rsidRPr="00510C46">
              <w:t>MŠMT (ŘT s poradní funkcí)</w:t>
            </w:r>
          </w:p>
        </w:tc>
        <w:tc>
          <w:tcPr>
            <w:tcW w:w="1842" w:type="dxa"/>
          </w:tcPr>
          <w:p w:rsidR="00510C46" w:rsidRPr="00510C46" w:rsidRDefault="00510C46" w:rsidP="00510C46">
            <w:pPr>
              <w:spacing w:after="120"/>
              <w:jc w:val="both"/>
            </w:pPr>
            <w:r w:rsidRPr="00510C46">
              <w:t>Po celou dobu akce</w:t>
            </w:r>
          </w:p>
        </w:tc>
        <w:tc>
          <w:tcPr>
            <w:tcW w:w="1418" w:type="dxa"/>
          </w:tcPr>
          <w:p w:rsidR="00510C46" w:rsidRPr="00510C46" w:rsidRDefault="00510C46" w:rsidP="00510C46">
            <w:pPr>
              <w:spacing w:after="120"/>
              <w:jc w:val="both"/>
            </w:pPr>
            <w:r w:rsidRPr="00510C46">
              <w:t xml:space="preserve">Financuje, řídí kvalitu (rozhoduje o vybraných příjemcích dotace, stanovuje </w:t>
            </w:r>
            <w:r w:rsidRPr="00510C46">
              <w:lastRenderedPageBreak/>
              <w:t>její rozsah)</w:t>
            </w:r>
          </w:p>
        </w:tc>
        <w:tc>
          <w:tcPr>
            <w:tcW w:w="2977" w:type="dxa"/>
          </w:tcPr>
          <w:p w:rsidR="00510C46" w:rsidRPr="00510C46" w:rsidRDefault="00510C46" w:rsidP="00510C46">
            <w:pPr>
              <w:spacing w:after="120"/>
              <w:jc w:val="both"/>
            </w:pPr>
            <w:r w:rsidRPr="00510C46">
              <w:lastRenderedPageBreak/>
              <w:t>Podporuje finančně žádoucí proměnu vzdělávání</w:t>
            </w:r>
          </w:p>
        </w:tc>
        <w:tc>
          <w:tcPr>
            <w:tcW w:w="1275" w:type="dxa"/>
          </w:tcPr>
          <w:p w:rsidR="00510C46" w:rsidRPr="00510C46" w:rsidRDefault="00510C46" w:rsidP="00510C46">
            <w:pPr>
              <w:spacing w:after="120"/>
              <w:jc w:val="both"/>
            </w:pPr>
            <w:r w:rsidRPr="00510C46">
              <w:t>Přímý</w:t>
            </w:r>
          </w:p>
        </w:tc>
      </w:tr>
      <w:tr w:rsidR="00510C46" w:rsidRPr="00510C46" w:rsidTr="00510C46">
        <w:tc>
          <w:tcPr>
            <w:tcW w:w="1384" w:type="dxa"/>
          </w:tcPr>
          <w:p w:rsidR="00510C46" w:rsidRPr="00510C46" w:rsidRDefault="00510C46" w:rsidP="00510C46">
            <w:pPr>
              <w:spacing w:after="120"/>
              <w:jc w:val="both"/>
            </w:pPr>
            <w:r w:rsidRPr="00510C46">
              <w:lastRenderedPageBreak/>
              <w:t>Udržení a rozvoj kvality</w:t>
            </w:r>
          </w:p>
        </w:tc>
        <w:tc>
          <w:tcPr>
            <w:tcW w:w="2835" w:type="dxa"/>
          </w:tcPr>
          <w:p w:rsidR="00510C46" w:rsidRPr="00510C46" w:rsidRDefault="00510C46" w:rsidP="00510C46">
            <w:pPr>
              <w:spacing w:after="120"/>
              <w:jc w:val="both"/>
            </w:pPr>
            <w:r w:rsidRPr="00510C46">
              <w:t xml:space="preserve">Regionální </w:t>
            </w:r>
            <w:proofErr w:type="spellStart"/>
            <w:r w:rsidRPr="00510C46">
              <w:t>minikonference</w:t>
            </w:r>
            <w:proofErr w:type="spellEnd"/>
            <w:r w:rsidRPr="00510C46">
              <w:t xml:space="preserve">, sportovní, pohybové festivaly umožňující neformální výměnu názorů a zkušeností apod. </w:t>
            </w:r>
          </w:p>
        </w:tc>
        <w:tc>
          <w:tcPr>
            <w:tcW w:w="2552" w:type="dxa"/>
          </w:tcPr>
          <w:p w:rsidR="00510C46" w:rsidRPr="00510C46" w:rsidRDefault="00510C46" w:rsidP="00510C46">
            <w:pPr>
              <w:spacing w:after="120"/>
              <w:jc w:val="both"/>
            </w:pPr>
            <w:r w:rsidRPr="00510C46">
              <w:t>MŠMT, kraje AŠSK</w:t>
            </w:r>
          </w:p>
        </w:tc>
        <w:tc>
          <w:tcPr>
            <w:tcW w:w="1842" w:type="dxa"/>
          </w:tcPr>
          <w:p w:rsidR="00510C46" w:rsidRPr="00510C46" w:rsidRDefault="00510C46" w:rsidP="00510C46">
            <w:pPr>
              <w:spacing w:after="120"/>
              <w:jc w:val="both"/>
            </w:pPr>
            <w:r w:rsidRPr="00510C46">
              <w:t>Po celou dobu akce, zejména od druhého nebo třetího roku trvání</w:t>
            </w:r>
          </w:p>
        </w:tc>
        <w:tc>
          <w:tcPr>
            <w:tcW w:w="1418" w:type="dxa"/>
          </w:tcPr>
          <w:p w:rsidR="00510C46" w:rsidRPr="00510C46" w:rsidRDefault="00510C46" w:rsidP="00510C46">
            <w:pPr>
              <w:spacing w:after="120"/>
              <w:jc w:val="both"/>
            </w:pPr>
            <w:r w:rsidRPr="00510C46">
              <w:t>Částečně financuje, vytváří podmínky pro financování, inspiruje</w:t>
            </w:r>
          </w:p>
        </w:tc>
        <w:tc>
          <w:tcPr>
            <w:tcW w:w="2977" w:type="dxa"/>
          </w:tcPr>
          <w:p w:rsidR="00510C46" w:rsidRPr="00510C46" w:rsidRDefault="00510C46" w:rsidP="00510C46">
            <w:pPr>
              <w:spacing w:after="120"/>
              <w:jc w:val="both"/>
            </w:pPr>
            <w:r w:rsidRPr="00510C46">
              <w:t>Utváří pevnou profesní komunitu a posiluje její hodnotovou bázi; zapojuje všechny nositele projektu do přímé činnosti; neformální prostředí pro výměnu názorů a zkušeností</w:t>
            </w:r>
          </w:p>
        </w:tc>
        <w:tc>
          <w:tcPr>
            <w:tcW w:w="1275" w:type="dxa"/>
          </w:tcPr>
          <w:p w:rsidR="00510C46" w:rsidRPr="00510C46" w:rsidRDefault="00510C46" w:rsidP="00510C46">
            <w:pPr>
              <w:spacing w:after="120"/>
              <w:jc w:val="both"/>
            </w:pPr>
            <w:r w:rsidRPr="00510C46">
              <w:t xml:space="preserve">Spíše nepřímý </w:t>
            </w:r>
          </w:p>
        </w:tc>
      </w:tr>
      <w:tr w:rsidR="00510C46" w:rsidRPr="00510C46" w:rsidTr="00510C46">
        <w:tc>
          <w:tcPr>
            <w:tcW w:w="1384" w:type="dxa"/>
          </w:tcPr>
          <w:p w:rsidR="00510C46" w:rsidRPr="00510C46" w:rsidRDefault="00510C46" w:rsidP="00510C46">
            <w:pPr>
              <w:spacing w:after="120"/>
              <w:jc w:val="both"/>
            </w:pPr>
            <w:r w:rsidRPr="00510C46">
              <w:t>Udržení a rozvoj kvality</w:t>
            </w:r>
          </w:p>
        </w:tc>
        <w:tc>
          <w:tcPr>
            <w:tcW w:w="2835" w:type="dxa"/>
          </w:tcPr>
          <w:p w:rsidR="00510C46" w:rsidRPr="00510C46" w:rsidRDefault="00510C46" w:rsidP="00510C46">
            <w:pPr>
              <w:spacing w:after="120"/>
              <w:jc w:val="both"/>
            </w:pPr>
            <w:r w:rsidRPr="00510C46">
              <w:t>Kontrolní činnosti</w:t>
            </w:r>
          </w:p>
        </w:tc>
        <w:tc>
          <w:tcPr>
            <w:tcW w:w="2552" w:type="dxa"/>
          </w:tcPr>
          <w:p w:rsidR="00510C46" w:rsidRPr="00510C46" w:rsidRDefault="00510C46" w:rsidP="00510C46">
            <w:pPr>
              <w:spacing w:after="120"/>
              <w:jc w:val="both"/>
            </w:pPr>
            <w:r w:rsidRPr="00510C46">
              <w:t>MŠMT, ČŠI (z počátku poradní funkce řídícího týmu)</w:t>
            </w:r>
          </w:p>
        </w:tc>
        <w:tc>
          <w:tcPr>
            <w:tcW w:w="1842" w:type="dxa"/>
          </w:tcPr>
          <w:p w:rsidR="00510C46" w:rsidRPr="00510C46" w:rsidRDefault="00510C46" w:rsidP="00510C46">
            <w:pPr>
              <w:spacing w:after="120"/>
              <w:jc w:val="both"/>
            </w:pPr>
            <w:r w:rsidRPr="00510C46">
              <w:t>Po celou dobu akce</w:t>
            </w:r>
          </w:p>
        </w:tc>
        <w:tc>
          <w:tcPr>
            <w:tcW w:w="1418" w:type="dxa"/>
          </w:tcPr>
          <w:p w:rsidR="00510C46" w:rsidRPr="00510C46" w:rsidRDefault="00510C46" w:rsidP="00510C46">
            <w:pPr>
              <w:spacing w:after="120"/>
              <w:jc w:val="both"/>
            </w:pPr>
            <w:r w:rsidRPr="00510C46">
              <w:t>Zajišťuje připravenost kontrolních pracovníků na kvalitativní ukazatele změny</w:t>
            </w:r>
          </w:p>
        </w:tc>
        <w:tc>
          <w:tcPr>
            <w:tcW w:w="2977" w:type="dxa"/>
          </w:tcPr>
          <w:p w:rsidR="00510C46" w:rsidRPr="00510C46" w:rsidRDefault="00510C46" w:rsidP="00510C46">
            <w:pPr>
              <w:spacing w:after="120"/>
              <w:jc w:val="both"/>
            </w:pPr>
            <w:r w:rsidRPr="00510C46">
              <w:t>Určuje hranice legality a správnosti realizace v praxi</w:t>
            </w:r>
          </w:p>
        </w:tc>
        <w:tc>
          <w:tcPr>
            <w:tcW w:w="1275" w:type="dxa"/>
          </w:tcPr>
          <w:p w:rsidR="00510C46" w:rsidRPr="00510C46" w:rsidRDefault="00510C46" w:rsidP="00510C46">
            <w:pPr>
              <w:spacing w:after="120"/>
              <w:jc w:val="both"/>
            </w:pPr>
            <w:r w:rsidRPr="00510C46">
              <w:t>Částečně přímý (spíše přímý než nepřímý)</w:t>
            </w:r>
          </w:p>
        </w:tc>
      </w:tr>
      <w:tr w:rsidR="00510C46" w:rsidRPr="00510C46" w:rsidTr="00510C46">
        <w:tc>
          <w:tcPr>
            <w:tcW w:w="1384" w:type="dxa"/>
          </w:tcPr>
          <w:p w:rsidR="00510C46" w:rsidRPr="00510C46" w:rsidRDefault="00510C46" w:rsidP="00510C46">
            <w:pPr>
              <w:spacing w:after="120"/>
              <w:jc w:val="both"/>
            </w:pPr>
            <w:r w:rsidRPr="00510C46">
              <w:t>Rozšíření prvků programu do předškolního vzdělávání</w:t>
            </w:r>
          </w:p>
        </w:tc>
        <w:tc>
          <w:tcPr>
            <w:tcW w:w="2835" w:type="dxa"/>
          </w:tcPr>
          <w:p w:rsidR="00510C46" w:rsidRPr="00510C46" w:rsidRDefault="00510C46" w:rsidP="00510C46">
            <w:pPr>
              <w:spacing w:after="120"/>
              <w:jc w:val="both"/>
            </w:pPr>
            <w:r w:rsidRPr="00510C46">
              <w:t>Úprava (doplnění) kurikula počátečního (a dalšího) vzdělávání pedagogických pracovníků škol a školských zařízení poskytujících pohybové vzdělávání/učení</w:t>
            </w:r>
          </w:p>
          <w:p w:rsidR="00510C46" w:rsidRPr="00510C46" w:rsidRDefault="00510C46" w:rsidP="00510C46">
            <w:pPr>
              <w:spacing w:after="120"/>
              <w:jc w:val="both"/>
            </w:pPr>
            <w:r w:rsidRPr="00510C46">
              <w:t>Vyjednávání s akreditačním úřadem a zejména s VŠ připravujícími učitele a učitelky MŠ</w:t>
            </w:r>
          </w:p>
        </w:tc>
        <w:tc>
          <w:tcPr>
            <w:tcW w:w="2552" w:type="dxa"/>
          </w:tcPr>
          <w:p w:rsidR="00510C46" w:rsidRPr="00510C46" w:rsidRDefault="00510C46" w:rsidP="00510C46">
            <w:pPr>
              <w:spacing w:after="120"/>
              <w:jc w:val="both"/>
            </w:pPr>
            <w:r w:rsidRPr="00510C46">
              <w:t>VŠ, SŠ, MŠMT/NÚV</w:t>
            </w:r>
          </w:p>
        </w:tc>
        <w:tc>
          <w:tcPr>
            <w:tcW w:w="1842" w:type="dxa"/>
          </w:tcPr>
          <w:p w:rsidR="00510C46" w:rsidRPr="00510C46" w:rsidRDefault="00510C46" w:rsidP="00510C46">
            <w:pPr>
              <w:spacing w:after="120"/>
              <w:jc w:val="both"/>
            </w:pPr>
            <w:r w:rsidRPr="00510C46">
              <w:t>Po celou dobu akce, zejména po prosazení či domluvení proměny; v případě SPŠ souvisí s revizemi RVP středního vzdělávání: musí s tímto procesem korelovat</w:t>
            </w:r>
          </w:p>
        </w:tc>
        <w:tc>
          <w:tcPr>
            <w:tcW w:w="1418" w:type="dxa"/>
          </w:tcPr>
          <w:p w:rsidR="00510C46" w:rsidRPr="00510C46" w:rsidRDefault="00510C46" w:rsidP="00510C46">
            <w:pPr>
              <w:spacing w:after="120"/>
              <w:jc w:val="both"/>
            </w:pPr>
            <w:r w:rsidRPr="00510C46">
              <w:t>Vyjednává, inspiruje; v případě SPŠ prosazuje změnu doplněním či proměnou formálního kurikula</w:t>
            </w:r>
          </w:p>
        </w:tc>
        <w:tc>
          <w:tcPr>
            <w:tcW w:w="2977" w:type="dxa"/>
          </w:tcPr>
          <w:p w:rsidR="00510C46" w:rsidRPr="00510C46" w:rsidRDefault="00510C46" w:rsidP="00510C46">
            <w:pPr>
              <w:spacing w:after="120"/>
              <w:jc w:val="both"/>
            </w:pPr>
            <w:r w:rsidRPr="00510C46">
              <w:t>Vytváří předpoklady pro plynulou adaptaci programu do praxe na straně nově přicházejících učitelů</w:t>
            </w:r>
          </w:p>
        </w:tc>
        <w:tc>
          <w:tcPr>
            <w:tcW w:w="1275" w:type="dxa"/>
          </w:tcPr>
          <w:p w:rsidR="00510C46" w:rsidRPr="00510C46" w:rsidRDefault="00510C46" w:rsidP="00510C46">
            <w:pPr>
              <w:spacing w:after="120"/>
              <w:jc w:val="both"/>
            </w:pPr>
            <w:r w:rsidRPr="00510C46">
              <w:t>Částečně přímý (SPŠ), jinak nepřímý, neformální autorita, která zaštiťuje tuto změnu</w:t>
            </w:r>
          </w:p>
        </w:tc>
      </w:tr>
      <w:tr w:rsidR="00510C46" w:rsidRPr="00510C46" w:rsidTr="00510C46">
        <w:tc>
          <w:tcPr>
            <w:tcW w:w="1384" w:type="dxa"/>
          </w:tcPr>
          <w:p w:rsidR="00510C46" w:rsidRPr="00510C46" w:rsidRDefault="00510C46" w:rsidP="00510C46">
            <w:pPr>
              <w:spacing w:after="120"/>
              <w:jc w:val="both"/>
            </w:pPr>
            <w:r w:rsidRPr="00510C46">
              <w:t xml:space="preserve">Posílení </w:t>
            </w:r>
            <w:r w:rsidRPr="00510C46">
              <w:lastRenderedPageBreak/>
              <w:t>kvality přípravy učitelů ZŠ</w:t>
            </w:r>
          </w:p>
        </w:tc>
        <w:tc>
          <w:tcPr>
            <w:tcW w:w="2835" w:type="dxa"/>
          </w:tcPr>
          <w:p w:rsidR="00510C46" w:rsidRPr="00510C46" w:rsidRDefault="00510C46" w:rsidP="00510C46">
            <w:pPr>
              <w:spacing w:after="120"/>
              <w:jc w:val="both"/>
            </w:pPr>
            <w:r w:rsidRPr="00510C46">
              <w:lastRenderedPageBreak/>
              <w:t xml:space="preserve">Vyjednávání s </w:t>
            </w:r>
            <w:r w:rsidRPr="00510C46">
              <w:lastRenderedPageBreak/>
              <w:t>akreditačním úřadem a zejména s VŠ připravujícími učitele a učitelky ZŠ</w:t>
            </w:r>
          </w:p>
        </w:tc>
        <w:tc>
          <w:tcPr>
            <w:tcW w:w="2552" w:type="dxa"/>
          </w:tcPr>
          <w:p w:rsidR="00510C46" w:rsidRPr="00510C46" w:rsidRDefault="00510C46" w:rsidP="00510C46">
            <w:pPr>
              <w:spacing w:after="120"/>
              <w:jc w:val="both"/>
            </w:pPr>
            <w:r w:rsidRPr="00510C46">
              <w:lastRenderedPageBreak/>
              <w:t>VŠ (MŠMT)</w:t>
            </w:r>
          </w:p>
        </w:tc>
        <w:tc>
          <w:tcPr>
            <w:tcW w:w="1842" w:type="dxa"/>
          </w:tcPr>
          <w:p w:rsidR="00510C46" w:rsidRPr="00510C46" w:rsidRDefault="00510C46" w:rsidP="00510C46">
            <w:pPr>
              <w:spacing w:after="120"/>
              <w:jc w:val="both"/>
            </w:pPr>
            <w:r w:rsidRPr="00510C46">
              <w:t xml:space="preserve">Po celou dobu </w:t>
            </w:r>
            <w:r w:rsidRPr="00510C46">
              <w:lastRenderedPageBreak/>
              <w:t>akce, vyjednání proměny vzdělávacích programů přípravy uč.</w:t>
            </w:r>
          </w:p>
        </w:tc>
        <w:tc>
          <w:tcPr>
            <w:tcW w:w="1418" w:type="dxa"/>
          </w:tcPr>
          <w:p w:rsidR="00510C46" w:rsidRPr="00510C46" w:rsidRDefault="00510C46" w:rsidP="00510C46">
            <w:pPr>
              <w:spacing w:after="120"/>
              <w:jc w:val="both"/>
            </w:pPr>
            <w:r w:rsidRPr="00510C46">
              <w:lastRenderedPageBreak/>
              <w:t xml:space="preserve">Vyjednává, </w:t>
            </w:r>
            <w:r w:rsidRPr="00510C46">
              <w:lastRenderedPageBreak/>
              <w:t>inspiruje</w:t>
            </w:r>
          </w:p>
        </w:tc>
        <w:tc>
          <w:tcPr>
            <w:tcW w:w="2977" w:type="dxa"/>
          </w:tcPr>
          <w:p w:rsidR="00510C46" w:rsidRPr="00510C46" w:rsidRDefault="00510C46" w:rsidP="00510C46">
            <w:pPr>
              <w:spacing w:after="120"/>
              <w:jc w:val="both"/>
            </w:pPr>
            <w:r w:rsidRPr="00510C46">
              <w:lastRenderedPageBreak/>
              <w:t xml:space="preserve">Vytváří předpoklady pro </w:t>
            </w:r>
            <w:r w:rsidRPr="00510C46">
              <w:lastRenderedPageBreak/>
              <w:t>plynulou adaptaci programu do praxe na straně nově přicházejících učitelů</w:t>
            </w:r>
          </w:p>
        </w:tc>
        <w:tc>
          <w:tcPr>
            <w:tcW w:w="1275" w:type="dxa"/>
          </w:tcPr>
          <w:p w:rsidR="00510C46" w:rsidRPr="00510C46" w:rsidRDefault="00510C46" w:rsidP="00510C46">
            <w:pPr>
              <w:spacing w:after="120"/>
              <w:jc w:val="both"/>
            </w:pPr>
            <w:r w:rsidRPr="00510C46">
              <w:lastRenderedPageBreak/>
              <w:t xml:space="preserve">Nepřímý, </w:t>
            </w:r>
            <w:r w:rsidRPr="00510C46">
              <w:lastRenderedPageBreak/>
              <w:t>neformální autorita, která zaštiťuje tuto změnu</w:t>
            </w:r>
          </w:p>
        </w:tc>
      </w:tr>
    </w:tbl>
    <w:p w:rsidR="00510C46" w:rsidRPr="00510C46" w:rsidRDefault="00510C46" w:rsidP="00510C46">
      <w:pPr>
        <w:spacing w:after="120"/>
        <w:jc w:val="both"/>
        <w:sectPr w:rsidR="00510C46" w:rsidRPr="00510C46" w:rsidSect="00510C46">
          <w:pgSz w:w="16838" w:h="11906" w:orient="landscape"/>
          <w:pgMar w:top="1417" w:right="1417" w:bottom="1417" w:left="1417" w:header="708" w:footer="708" w:gutter="0"/>
          <w:cols w:space="708"/>
          <w:docGrid w:linePitch="360"/>
        </w:sectPr>
      </w:pPr>
    </w:p>
    <w:p w:rsidR="00510C46" w:rsidRPr="008930CF" w:rsidRDefault="00510C46" w:rsidP="00352E56">
      <w:pPr>
        <w:pStyle w:val="Odstavecseseznamem"/>
        <w:numPr>
          <w:ilvl w:val="0"/>
          <w:numId w:val="4"/>
        </w:numPr>
        <w:rPr>
          <w:b/>
        </w:rPr>
      </w:pPr>
      <w:r w:rsidRPr="008930CF">
        <w:rPr>
          <w:b/>
        </w:rPr>
        <w:lastRenderedPageBreak/>
        <w:t>Časový horizont akce</w:t>
      </w:r>
    </w:p>
    <w:p w:rsidR="00510C46" w:rsidRPr="00510C46" w:rsidRDefault="00510C46" w:rsidP="00510C46">
      <w:pPr>
        <w:spacing w:after="120"/>
        <w:jc w:val="both"/>
      </w:pPr>
      <w:r w:rsidRPr="00510C46">
        <w:t xml:space="preserve">Většina aktivit akce probíhá paralelně a je </w:t>
      </w:r>
      <w:r w:rsidR="00C576D2">
        <w:t xml:space="preserve">monitorována a vyhodnocována koordinačním </w:t>
      </w:r>
      <w:r w:rsidRPr="00510C46">
        <w:t>týmem. V prvním roce (2018) proto může začít většina aktivit naráz; je třeba si uvědomit, že například pro spouštění rozvojového programu je třeba posílit realizační/absorpční kapacitu na straně škol a</w:t>
      </w:r>
      <w:r w:rsidR="00C576D2">
        <w:t> </w:t>
      </w:r>
      <w:r w:rsidRPr="00510C46">
        <w:t xml:space="preserve">připravit finanční, kontrolní a kvalitativně metodické nástroje, aby byly k dispozici v množství </w:t>
      </w:r>
      <w:r w:rsidR="00C576D2">
        <w:t xml:space="preserve">a dostupnosti </w:t>
      </w:r>
      <w:r w:rsidRPr="00510C46">
        <w:t>odpovídající úspěšnému zahájení plošné akce.</w:t>
      </w:r>
      <w:r w:rsidR="008930CF">
        <w:t xml:space="preserve"> V letech 2019 a 2020 by pokračovaly nastartované aktivity jako paralelní podpora směřující k plošnosti implementace. Díky koordinační a evaluační funkci koordinačního týmu MŠMT by měla akce silnou interní </w:t>
      </w:r>
      <w:proofErr w:type="spellStart"/>
      <w:r w:rsidR="008930CF">
        <w:t>autoevaluaci</w:t>
      </w:r>
      <w:proofErr w:type="spellEnd"/>
      <w:r w:rsidR="008930CF">
        <w:t xml:space="preserve"> a mohla by být modifikována podle aktuální potřeby.</w:t>
      </w:r>
    </w:p>
    <w:p w:rsidR="00510C46" w:rsidRPr="00510C46" w:rsidRDefault="00510C46" w:rsidP="00510C46">
      <w:pPr>
        <w:spacing w:after="120"/>
        <w:jc w:val="both"/>
      </w:pPr>
      <w:r w:rsidRPr="00510C46">
        <w:t>T</w:t>
      </w:r>
      <w:r w:rsidR="00C576D2">
        <w:t>akový způsob koordinace</w:t>
      </w:r>
      <w:r w:rsidRPr="00510C46">
        <w:t xml:space="preserve"> </w:t>
      </w:r>
      <w:r w:rsidR="00C576D2">
        <w:t>implikuje</w:t>
      </w:r>
      <w:r w:rsidRPr="00510C46">
        <w:t xml:space="preserve"> určité </w:t>
      </w:r>
      <w:r w:rsidRPr="00C576D2">
        <w:rPr>
          <w:i/>
        </w:rPr>
        <w:t>kritické meze</w:t>
      </w:r>
      <w:r w:rsidR="00C576D2">
        <w:t xml:space="preserve">, s nimiž musí projektové řízení akce od </w:t>
      </w:r>
      <w:r w:rsidRPr="00510C46">
        <w:t xml:space="preserve">počátku </w:t>
      </w:r>
      <w:r w:rsidR="00C576D2">
        <w:t>počítat</w:t>
      </w:r>
      <w:r w:rsidRPr="00510C46">
        <w:t xml:space="preserve"> a jichž je nutno </w:t>
      </w:r>
      <w:r w:rsidR="00C576D2">
        <w:t xml:space="preserve">v potřebné kvalitě a rozsahu </w:t>
      </w:r>
      <w:r w:rsidRPr="00510C46">
        <w:t>dosáhnout:</w:t>
      </w:r>
    </w:p>
    <w:p w:rsidR="00510C46" w:rsidRPr="00510C46" w:rsidRDefault="00510C46" w:rsidP="00352E56">
      <w:pPr>
        <w:numPr>
          <w:ilvl w:val="0"/>
          <w:numId w:val="6"/>
        </w:numPr>
        <w:spacing w:after="120"/>
        <w:jc w:val="both"/>
      </w:pPr>
      <w:r w:rsidRPr="00510C46">
        <w:t>utvoření kapacit na straně vzdělavatelů</w:t>
      </w:r>
      <w:r w:rsidR="00C576D2">
        <w:t xml:space="preserve"> (zejména základních škol a školských zařízení)</w:t>
      </w:r>
    </w:p>
    <w:p w:rsidR="00510C46" w:rsidRPr="00510C46" w:rsidRDefault="00510C46" w:rsidP="00352E56">
      <w:pPr>
        <w:numPr>
          <w:ilvl w:val="0"/>
          <w:numId w:val="6"/>
        </w:numPr>
        <w:spacing w:after="120"/>
        <w:jc w:val="both"/>
      </w:pPr>
      <w:r w:rsidRPr="00510C46">
        <w:t>vytvoření vzdělávacích modulů, DVPP</w:t>
      </w:r>
    </w:p>
    <w:p w:rsidR="00510C46" w:rsidRPr="00510C46" w:rsidRDefault="00510C46" w:rsidP="00352E56">
      <w:pPr>
        <w:numPr>
          <w:ilvl w:val="0"/>
          <w:numId w:val="6"/>
        </w:numPr>
        <w:spacing w:after="120"/>
        <w:jc w:val="both"/>
      </w:pPr>
      <w:r w:rsidRPr="00510C46">
        <w:t>zahájení vzdělávání v standardní nabídce pro školy – informování škol o budoucím rozvojovém programu</w:t>
      </w:r>
    </w:p>
    <w:p w:rsidR="00510C46" w:rsidRPr="00510C46" w:rsidRDefault="00510C46" w:rsidP="00352E56">
      <w:pPr>
        <w:numPr>
          <w:ilvl w:val="0"/>
          <w:numId w:val="6"/>
        </w:numPr>
        <w:spacing w:after="120"/>
        <w:jc w:val="both"/>
      </w:pPr>
      <w:r w:rsidRPr="00510C46">
        <w:t xml:space="preserve">vytvoření kritérií přijatelnosti a pro hodnocení kvality žádostí škol pro rozvojový program </w:t>
      </w:r>
    </w:p>
    <w:p w:rsidR="00510C46" w:rsidRPr="00510C46" w:rsidRDefault="00510C46" w:rsidP="00352E56">
      <w:pPr>
        <w:numPr>
          <w:ilvl w:val="0"/>
          <w:numId w:val="6"/>
        </w:numPr>
        <w:spacing w:after="120"/>
        <w:jc w:val="both"/>
      </w:pPr>
      <w:r w:rsidRPr="00510C46">
        <w:t>udržení centrální kontroly a řízení akce, zejména zpočátku</w:t>
      </w:r>
    </w:p>
    <w:p w:rsidR="00510C46" w:rsidRDefault="00510C46" w:rsidP="00352E56">
      <w:pPr>
        <w:numPr>
          <w:ilvl w:val="0"/>
          <w:numId w:val="6"/>
        </w:numPr>
        <w:spacing w:after="120"/>
        <w:jc w:val="both"/>
      </w:pPr>
      <w:r w:rsidRPr="00510C46">
        <w:t>nerozporná komunikace</w:t>
      </w:r>
    </w:p>
    <w:p w:rsidR="00602395" w:rsidRPr="00510C46" w:rsidRDefault="00602395" w:rsidP="00602395">
      <w:pPr>
        <w:numPr>
          <w:ilvl w:val="1"/>
          <w:numId w:val="6"/>
        </w:numPr>
        <w:spacing w:after="120"/>
        <w:jc w:val="both"/>
      </w:pPr>
      <w:r>
        <w:t xml:space="preserve">včetně detailního představení programu HPN ředitelům škol v Souboru </w:t>
      </w:r>
      <w:proofErr w:type="spellStart"/>
      <w:r>
        <w:t>pedagogicko</w:t>
      </w:r>
      <w:proofErr w:type="spellEnd"/>
      <w:r>
        <w:t xml:space="preserve"> organizačních informací 2017/2018 a v dalších letech; program by zde měl být prezentován jako změna ve školním sportu, která je finančně, ale i morálně podporována veřejnou mocí a partnery MŠMT jako žádoucí a žákům prospěšná</w:t>
      </w:r>
    </w:p>
    <w:p w:rsidR="00510C46" w:rsidRPr="00510C46" w:rsidRDefault="00510C46" w:rsidP="00352E56">
      <w:pPr>
        <w:numPr>
          <w:ilvl w:val="0"/>
          <w:numId w:val="6"/>
        </w:numPr>
        <w:spacing w:after="120"/>
        <w:jc w:val="both"/>
      </w:pPr>
      <w:r w:rsidRPr="00510C46">
        <w:t>příslib (zajištění) financování po dobu několika let</w:t>
      </w:r>
    </w:p>
    <w:p w:rsidR="00510C46" w:rsidRPr="00510C46" w:rsidRDefault="00510C46" w:rsidP="00352E56">
      <w:pPr>
        <w:numPr>
          <w:ilvl w:val="1"/>
          <w:numId w:val="6"/>
        </w:numPr>
        <w:spacing w:after="120"/>
        <w:jc w:val="both"/>
      </w:pPr>
      <w:r w:rsidRPr="00510C46">
        <w:t>finanční rozvaha pro jednotlivou školu (různých typů a velikosti)</w:t>
      </w:r>
    </w:p>
    <w:p w:rsidR="00510C46" w:rsidRPr="00510C46" w:rsidRDefault="00510C46" w:rsidP="00352E56">
      <w:pPr>
        <w:numPr>
          <w:ilvl w:val="1"/>
          <w:numId w:val="6"/>
        </w:numPr>
        <w:spacing w:after="120"/>
        <w:jc w:val="both"/>
      </w:pPr>
      <w:r w:rsidRPr="00510C46">
        <w:t>včasná alokace prostředků</w:t>
      </w:r>
    </w:p>
    <w:p w:rsidR="00510C46" w:rsidRPr="00510C46" w:rsidRDefault="00510C46" w:rsidP="00352E56">
      <w:pPr>
        <w:numPr>
          <w:ilvl w:val="1"/>
          <w:numId w:val="6"/>
        </w:numPr>
        <w:spacing w:after="120"/>
        <w:jc w:val="both"/>
      </w:pPr>
      <w:r w:rsidRPr="00510C46">
        <w:t>rozhodnutí, jak naložit se školami, které jsou již nyní podpořeny</w:t>
      </w:r>
      <w:r w:rsidR="00C576D2">
        <w:t xml:space="preserve"> (v rámci pokusného ověřování)</w:t>
      </w:r>
    </w:p>
    <w:p w:rsidR="00510C46" w:rsidRDefault="00510C46" w:rsidP="00510C46">
      <w:pPr>
        <w:spacing w:after="120"/>
        <w:jc w:val="both"/>
      </w:pPr>
      <w:r w:rsidRPr="00510C46">
        <w:t>Při splnění těchto podmínek lze zahájit plošnou fázi podpory této metodiky.</w:t>
      </w:r>
    </w:p>
    <w:p w:rsidR="000C692B" w:rsidRDefault="000C692B" w:rsidP="00510C46">
      <w:pPr>
        <w:spacing w:after="120"/>
        <w:jc w:val="both"/>
      </w:pPr>
    </w:p>
    <w:p w:rsidR="000C692B" w:rsidRDefault="000C692B" w:rsidP="00352E56">
      <w:pPr>
        <w:pStyle w:val="Odstavecseseznamem"/>
        <w:numPr>
          <w:ilvl w:val="0"/>
          <w:numId w:val="4"/>
        </w:numPr>
        <w:rPr>
          <w:b/>
        </w:rPr>
      </w:pPr>
      <w:r w:rsidRPr="000C692B">
        <w:rPr>
          <w:b/>
        </w:rPr>
        <w:t>Konkrétní nástroje změny</w:t>
      </w:r>
    </w:p>
    <w:p w:rsidR="000C692B" w:rsidRPr="000C692B" w:rsidRDefault="000C692B" w:rsidP="000C692B">
      <w:pPr>
        <w:rPr>
          <w:b/>
        </w:rPr>
      </w:pPr>
    </w:p>
    <w:p w:rsidR="00510C46" w:rsidRPr="005601AE" w:rsidRDefault="00510C46" w:rsidP="00352E56">
      <w:pPr>
        <w:pStyle w:val="Odstavecseseznamem"/>
        <w:numPr>
          <w:ilvl w:val="1"/>
          <w:numId w:val="4"/>
        </w:numPr>
        <w:spacing w:after="120"/>
        <w:jc w:val="both"/>
        <w:rPr>
          <w:b/>
          <w:bCs/>
        </w:rPr>
      </w:pPr>
      <w:r w:rsidRPr="005601AE">
        <w:rPr>
          <w:b/>
          <w:bCs/>
        </w:rPr>
        <w:t>Rozvojový program</w:t>
      </w:r>
    </w:p>
    <w:p w:rsidR="00510C46" w:rsidRPr="00510C46" w:rsidRDefault="00DF36C8" w:rsidP="00510C46">
      <w:pPr>
        <w:spacing w:after="120"/>
        <w:jc w:val="both"/>
      </w:pPr>
      <w:r>
        <w:t>Realizován by měl být po té, co dostanou opravdu všechny školy reálnou možnost připravit personální kapacity pro realizaci programu (absolvování akreditovaných vzdělávacích akcí DVPP v nabídce NIDV v roce 2017. Předpokládaná doba trvání podpory plošného šíření pr</w:t>
      </w:r>
      <w:r w:rsidR="00D77242">
        <w:t xml:space="preserve">ogramu v první fázi: 2018–2020. </w:t>
      </w:r>
      <w:r w:rsidR="00510C46" w:rsidRPr="00510C46">
        <w:t xml:space="preserve">Financován by měl být </w:t>
      </w:r>
      <w:r w:rsidR="005601AE" w:rsidRPr="005601AE">
        <w:rPr>
          <w:highlight w:val="yellow"/>
        </w:rPr>
        <w:t>z prostředků</w:t>
      </w:r>
      <w:r w:rsidR="00510C46" w:rsidRPr="005601AE">
        <w:rPr>
          <w:highlight w:val="yellow"/>
        </w:rPr>
        <w:t xml:space="preserve"> sekce sportu a mládeže a sekce vzdělávání</w:t>
      </w:r>
      <w:r w:rsidR="005601AE" w:rsidRPr="005601AE">
        <w:rPr>
          <w:highlight w:val="yellow"/>
        </w:rPr>
        <w:t xml:space="preserve"> MŠMT</w:t>
      </w:r>
      <w:r w:rsidR="00510C46" w:rsidRPr="00510C46">
        <w:t xml:space="preserve">, jejichž zástupci </w:t>
      </w:r>
      <w:r w:rsidR="005601AE">
        <w:t>budou</w:t>
      </w:r>
      <w:r w:rsidR="00510C46" w:rsidRPr="00510C46">
        <w:t xml:space="preserve"> členy </w:t>
      </w:r>
      <w:r w:rsidR="005601AE">
        <w:t>koordinačního</w:t>
      </w:r>
      <w:r w:rsidR="00510C46" w:rsidRPr="00510C46">
        <w:t xml:space="preserve"> týmu. Měl by umožňovat hradit škole částečně pomůcky a</w:t>
      </w:r>
      <w:r w:rsidR="005601AE">
        <w:t> </w:t>
      </w:r>
      <w:r w:rsidR="00510C46" w:rsidRPr="00510C46">
        <w:t xml:space="preserve">přispívat na vedení pohybových aktivit podle metodiky. </w:t>
      </w:r>
      <w:r w:rsidR="005601AE">
        <w:t>F</w:t>
      </w:r>
      <w:r w:rsidR="00510C46" w:rsidRPr="00510C46">
        <w:t>inancování DVPP</w:t>
      </w:r>
      <w:r w:rsidR="005601AE">
        <w:t xml:space="preserve"> by měl zahrnovat jen z části. Jeho cílem ale je další vzdělávání v programu aktivních pedagogických pracovníků a jejich všestranný osobnostní a profesní rozvoj </w:t>
      </w:r>
      <w:r w:rsidR="005601AE" w:rsidRPr="00150DA6">
        <w:t>včetně</w:t>
      </w:r>
      <w:r w:rsidR="00510C46" w:rsidRPr="00150DA6">
        <w:t xml:space="preserve"> neformální</w:t>
      </w:r>
      <w:r w:rsidR="005601AE" w:rsidRPr="00150DA6">
        <w:t>ho</w:t>
      </w:r>
      <w:r w:rsidR="00150DA6">
        <w:t xml:space="preserve"> vzdělávání</w:t>
      </w:r>
      <w:r w:rsidR="00510C46" w:rsidRPr="00510C46">
        <w:t xml:space="preserve"> a informální</w:t>
      </w:r>
      <w:r w:rsidR="005601AE">
        <w:t>ho učení a sdílení příkladů inspirativní praxe</w:t>
      </w:r>
      <w:r w:rsidR="00510C46" w:rsidRPr="00510C46">
        <w:t>.</w:t>
      </w:r>
      <w:r w:rsidR="005601AE">
        <w:t xml:space="preserve"> Součástí realizace rozvojového programu by měly být účasti učitelů a žáků na regionálních festivalech sportu pořádaných AŠSK (viz níže).</w:t>
      </w:r>
    </w:p>
    <w:p w:rsidR="005601AE" w:rsidRDefault="00510C46" w:rsidP="00510C46">
      <w:pPr>
        <w:spacing w:after="120"/>
        <w:jc w:val="both"/>
      </w:pPr>
      <w:r w:rsidRPr="00510C46">
        <w:t>Rámcová měsíční alokace na školu</w:t>
      </w:r>
      <w:r w:rsidR="005601AE">
        <w:t>:</w:t>
      </w:r>
    </w:p>
    <w:p w:rsidR="005601AE" w:rsidRPr="00510C46" w:rsidRDefault="005601AE" w:rsidP="00352E56">
      <w:pPr>
        <w:pStyle w:val="Odstavecseseznamem"/>
        <w:numPr>
          <w:ilvl w:val="0"/>
          <w:numId w:val="10"/>
        </w:numPr>
        <w:spacing w:after="120"/>
        <w:jc w:val="both"/>
      </w:pPr>
      <w:r w:rsidRPr="005601AE">
        <w:rPr>
          <w:u w:val="single"/>
        </w:rPr>
        <w:lastRenderedPageBreak/>
        <w:t>s jedním oddělením ŠD</w:t>
      </w:r>
      <w:r w:rsidRPr="00510C46">
        <w:t xml:space="preserve"> (1500 OON; 1000 OBV):</w:t>
      </w:r>
    </w:p>
    <w:p w:rsidR="005601AE" w:rsidRPr="00510C46" w:rsidRDefault="005601AE" w:rsidP="00352E56">
      <w:pPr>
        <w:pStyle w:val="Odstavecseseznamem"/>
        <w:numPr>
          <w:ilvl w:val="1"/>
          <w:numId w:val="11"/>
        </w:numPr>
        <w:spacing w:after="120"/>
        <w:jc w:val="both"/>
      </w:pPr>
      <w:r w:rsidRPr="00510C46">
        <w:t>1</w:t>
      </w:r>
      <w:r w:rsidR="00D77242">
        <w:t>.</w:t>
      </w:r>
      <w:r w:rsidRPr="00510C46">
        <w:t>000 Kč pro vedoucí aktivit; 500 Kč na administrativu a řízení</w:t>
      </w:r>
      <w:r w:rsidR="00DF36C8">
        <w:t xml:space="preserve"> vč. DVPP</w:t>
      </w:r>
      <w:r w:rsidRPr="00510C46">
        <w:t>; 1</w:t>
      </w:r>
      <w:r w:rsidR="00D77242">
        <w:t>.</w:t>
      </w:r>
      <w:r w:rsidRPr="00510C46">
        <w:t>000 Kč na pomůcky</w:t>
      </w:r>
    </w:p>
    <w:p w:rsidR="005601AE" w:rsidRPr="00510C46" w:rsidRDefault="005601AE" w:rsidP="00352E56">
      <w:pPr>
        <w:pStyle w:val="Odstavecseseznamem"/>
        <w:numPr>
          <w:ilvl w:val="1"/>
          <w:numId w:val="11"/>
        </w:numPr>
        <w:spacing w:after="120"/>
        <w:jc w:val="both"/>
      </w:pPr>
      <w:r w:rsidRPr="00510C46">
        <w:t xml:space="preserve">(v </w:t>
      </w:r>
      <w:r>
        <w:t>roce 2018</w:t>
      </w:r>
      <w:r w:rsidRPr="00510C46">
        <w:t xml:space="preserve"> podpořit až 200 takových ZŠ</w:t>
      </w:r>
      <w:r>
        <w:t>; následně více, dle konkrétního zájmu</w:t>
      </w:r>
      <w:r w:rsidRPr="00510C46">
        <w:t>)</w:t>
      </w:r>
    </w:p>
    <w:p w:rsidR="00510C46" w:rsidRPr="00510C46" w:rsidRDefault="00510C46" w:rsidP="00352E56">
      <w:pPr>
        <w:pStyle w:val="Odstavecseseznamem"/>
        <w:numPr>
          <w:ilvl w:val="0"/>
          <w:numId w:val="10"/>
        </w:numPr>
        <w:spacing w:after="120"/>
        <w:jc w:val="both"/>
      </w:pPr>
      <w:r w:rsidRPr="00510C46">
        <w:t xml:space="preserve">se </w:t>
      </w:r>
      <w:r w:rsidRPr="005601AE">
        <w:rPr>
          <w:u w:val="single"/>
        </w:rPr>
        <w:t>3 odděleními školní družiny</w:t>
      </w:r>
      <w:r w:rsidRPr="00510C46">
        <w:t xml:space="preserve"> (4000 OON; 1000 OBV): </w:t>
      </w:r>
    </w:p>
    <w:p w:rsidR="00510C46" w:rsidRPr="00510C46" w:rsidRDefault="00510C46" w:rsidP="00352E56">
      <w:pPr>
        <w:pStyle w:val="Odstavecseseznamem"/>
        <w:numPr>
          <w:ilvl w:val="1"/>
          <w:numId w:val="11"/>
        </w:numPr>
        <w:spacing w:after="120"/>
        <w:jc w:val="both"/>
      </w:pPr>
      <w:r w:rsidRPr="00510C46">
        <w:t>3</w:t>
      </w:r>
      <w:r w:rsidR="00D77242">
        <w:t>.</w:t>
      </w:r>
      <w:r w:rsidRPr="00510C46">
        <w:t>000 Kč pro vedoucí aktivit; 1</w:t>
      </w:r>
      <w:r w:rsidR="00D77242">
        <w:t>.</w:t>
      </w:r>
      <w:r w:rsidRPr="00510C46">
        <w:t>000 Kč na administrativu a řízení</w:t>
      </w:r>
      <w:r w:rsidR="00DF36C8">
        <w:t xml:space="preserve"> </w:t>
      </w:r>
      <w:r w:rsidR="00DF36C8" w:rsidRPr="00DF36C8">
        <w:t>vč. DVPP</w:t>
      </w:r>
      <w:r w:rsidRPr="00510C46">
        <w:t>; 1</w:t>
      </w:r>
      <w:r w:rsidR="00D77242">
        <w:t>.</w:t>
      </w:r>
      <w:r w:rsidRPr="00510C46">
        <w:t>000 Kč na pomůcky</w:t>
      </w:r>
    </w:p>
    <w:p w:rsidR="00510C46" w:rsidRPr="00510C46" w:rsidRDefault="00510C46" w:rsidP="00352E56">
      <w:pPr>
        <w:pStyle w:val="Odstavecseseznamem"/>
        <w:numPr>
          <w:ilvl w:val="1"/>
          <w:numId w:val="11"/>
        </w:numPr>
        <w:spacing w:after="120"/>
        <w:jc w:val="both"/>
      </w:pPr>
      <w:r w:rsidRPr="00510C46">
        <w:t>(v první fázi podpořit až 300 takových ZŠ</w:t>
      </w:r>
      <w:r w:rsidR="005601AE">
        <w:t xml:space="preserve">; </w:t>
      </w:r>
      <w:r w:rsidR="005601AE" w:rsidRPr="005601AE">
        <w:t>následně více, dle konkrétního zájmu</w:t>
      </w:r>
      <w:r w:rsidRPr="00510C46">
        <w:t>)</w:t>
      </w:r>
    </w:p>
    <w:p w:rsidR="00510C46" w:rsidRPr="00510C46" w:rsidRDefault="00510C46" w:rsidP="00352E56">
      <w:pPr>
        <w:pStyle w:val="Odstavecseseznamem"/>
        <w:numPr>
          <w:ilvl w:val="0"/>
          <w:numId w:val="10"/>
        </w:numPr>
        <w:spacing w:after="120"/>
        <w:jc w:val="both"/>
      </w:pPr>
      <w:r w:rsidRPr="005601AE">
        <w:t>s 5 odděleními ŠD</w:t>
      </w:r>
      <w:r w:rsidRPr="00510C46">
        <w:t xml:space="preserve"> (6000 OON; 1500 OBV):</w:t>
      </w:r>
    </w:p>
    <w:p w:rsidR="00510C46" w:rsidRPr="00510C46" w:rsidRDefault="00510C46" w:rsidP="00352E56">
      <w:pPr>
        <w:pStyle w:val="Odstavecseseznamem"/>
        <w:numPr>
          <w:ilvl w:val="1"/>
          <w:numId w:val="11"/>
        </w:numPr>
        <w:spacing w:after="120"/>
        <w:jc w:val="both"/>
      </w:pPr>
      <w:r w:rsidRPr="00510C46">
        <w:t>5</w:t>
      </w:r>
      <w:r w:rsidR="00D77242">
        <w:t>.</w:t>
      </w:r>
      <w:r w:rsidRPr="00510C46">
        <w:t>000 Kč pro vedoucí aktivit; 1</w:t>
      </w:r>
      <w:r w:rsidR="00D77242">
        <w:t>.</w:t>
      </w:r>
      <w:r w:rsidRPr="00510C46">
        <w:t>000 Kč na administrativu a řízení</w:t>
      </w:r>
      <w:r w:rsidR="00DF36C8">
        <w:t xml:space="preserve"> </w:t>
      </w:r>
      <w:r w:rsidR="00DF36C8" w:rsidRPr="00DF36C8">
        <w:t>vč. DVPP</w:t>
      </w:r>
      <w:r w:rsidRPr="00510C46">
        <w:t>; 1</w:t>
      </w:r>
      <w:r w:rsidR="00D77242">
        <w:t>.</w:t>
      </w:r>
      <w:r w:rsidRPr="00510C46">
        <w:t>500 Kč na pomůcky</w:t>
      </w:r>
    </w:p>
    <w:p w:rsidR="00510C46" w:rsidRPr="00510C46" w:rsidRDefault="00510C46" w:rsidP="00352E56">
      <w:pPr>
        <w:pStyle w:val="Odstavecseseznamem"/>
        <w:numPr>
          <w:ilvl w:val="1"/>
          <w:numId w:val="11"/>
        </w:numPr>
        <w:spacing w:after="120"/>
        <w:jc w:val="both"/>
      </w:pPr>
      <w:r w:rsidRPr="00510C46">
        <w:t>(v první fázi podpořit až 150 takových ZŠ</w:t>
      </w:r>
      <w:r w:rsidR="005601AE">
        <w:t xml:space="preserve">; </w:t>
      </w:r>
      <w:r w:rsidR="005601AE" w:rsidRPr="005601AE">
        <w:t>následně více, dle konkrétního zájmu</w:t>
      </w:r>
      <w:r w:rsidRPr="00510C46">
        <w:t>)</w:t>
      </w:r>
    </w:p>
    <w:p w:rsidR="00510C46" w:rsidRPr="00150DA6" w:rsidRDefault="00510C46" w:rsidP="00510C46">
      <w:pPr>
        <w:spacing w:after="120"/>
        <w:jc w:val="both"/>
      </w:pPr>
      <w:r w:rsidRPr="00510C46">
        <w:t>Navrhovaná celková finanční alokace do tohoto programu pro první – třetí rok:</w:t>
      </w:r>
      <w:r w:rsidR="00150DA6">
        <w:t xml:space="preserve"> </w:t>
      </w:r>
      <w:r w:rsidR="00DF36C8" w:rsidRPr="00DF36C8">
        <w:rPr>
          <w:b/>
          <w:highlight w:val="yellow"/>
        </w:rPr>
        <w:t>123</w:t>
      </w:r>
      <w:r w:rsidR="00150DA6">
        <w:rPr>
          <w:b/>
          <w:highlight w:val="yellow"/>
        </w:rPr>
        <w:t>.</w:t>
      </w:r>
      <w:r w:rsidR="00DF36C8" w:rsidRPr="00DF36C8">
        <w:rPr>
          <w:b/>
          <w:highlight w:val="yellow"/>
        </w:rPr>
        <w:t>750</w:t>
      </w:r>
      <w:r w:rsidR="00150DA6">
        <w:rPr>
          <w:b/>
          <w:highlight w:val="yellow"/>
        </w:rPr>
        <w:t>.0</w:t>
      </w:r>
      <w:r w:rsidR="00DF36C8" w:rsidRPr="00DF36C8">
        <w:rPr>
          <w:b/>
          <w:highlight w:val="yellow"/>
        </w:rPr>
        <w:t xml:space="preserve">00 </w:t>
      </w:r>
      <w:r w:rsidRPr="00DF36C8">
        <w:rPr>
          <w:b/>
          <w:highlight w:val="yellow"/>
        </w:rPr>
        <w:t>KČ</w:t>
      </w:r>
    </w:p>
    <w:p w:rsidR="00510C46" w:rsidRPr="00510C46" w:rsidRDefault="00510C46" w:rsidP="00510C46">
      <w:pPr>
        <w:spacing w:after="120"/>
        <w:jc w:val="both"/>
      </w:pPr>
      <w:r w:rsidRPr="00510C46">
        <w:t>Úspěšná žádost:</w:t>
      </w:r>
    </w:p>
    <w:p w:rsidR="00510C46" w:rsidRPr="00510C46" w:rsidRDefault="00510C46" w:rsidP="00352E56">
      <w:pPr>
        <w:numPr>
          <w:ilvl w:val="1"/>
          <w:numId w:val="7"/>
        </w:numPr>
        <w:spacing w:after="120"/>
        <w:jc w:val="both"/>
      </w:pPr>
      <w:r w:rsidRPr="00510C46">
        <w:t>škola prokazatelně disponuje odpovídajícím zázemím pro sportování v tělocvičně a</w:t>
      </w:r>
      <w:r w:rsidR="00DF36C8">
        <w:t> </w:t>
      </w:r>
      <w:r w:rsidRPr="00510C46">
        <w:t>ve venkovním prostředí</w:t>
      </w:r>
      <w:r w:rsidR="00DF36C8">
        <w:t>; přístup k ledové ploše je výhodou</w:t>
      </w:r>
    </w:p>
    <w:p w:rsidR="00510C46" w:rsidRPr="00510C46" w:rsidRDefault="00510C46" w:rsidP="00352E56">
      <w:pPr>
        <w:numPr>
          <w:ilvl w:val="1"/>
          <w:numId w:val="7"/>
        </w:numPr>
        <w:spacing w:after="120"/>
        <w:jc w:val="both"/>
      </w:pPr>
      <w:r w:rsidRPr="00510C46">
        <w:t>škola má alespoň jednoho trenéra či učitele TV a jednoho vychovatele s licencí (certifikátem) ze školení vedoucích aktivit HPN (NIDV)</w:t>
      </w:r>
    </w:p>
    <w:p w:rsidR="00510C46" w:rsidRDefault="00DF36C8" w:rsidP="00510C46">
      <w:pPr>
        <w:spacing w:after="120"/>
        <w:jc w:val="both"/>
      </w:pPr>
      <w:r>
        <w:t xml:space="preserve">Rozvojový program by se vyhodnocoval kvantitativně a na základě vyhodnocení by se v dalších letech upravoval. V prvním roce by měl podpořit minimálně 650 ZŠ s alokací </w:t>
      </w:r>
      <w:bookmarkStart w:id="0" w:name="_GoBack"/>
      <w:bookmarkEnd w:id="0"/>
      <w:r w:rsidRPr="00DF36C8">
        <w:t>31</w:t>
      </w:r>
      <w:r w:rsidR="00150DA6">
        <w:t>.</w:t>
      </w:r>
      <w:r w:rsidRPr="00DF36C8">
        <w:t>250</w:t>
      </w:r>
      <w:r w:rsidR="00150DA6">
        <w:t>.0</w:t>
      </w:r>
      <w:r w:rsidRPr="00DF36C8">
        <w:t>00</w:t>
      </w:r>
      <w:r w:rsidR="00D77242">
        <w:t xml:space="preserve"> Kč</w:t>
      </w:r>
      <w:r>
        <w:t>.</w:t>
      </w:r>
      <w:r w:rsidRPr="00DF36C8">
        <w:t xml:space="preserve"> </w:t>
      </w:r>
    </w:p>
    <w:p w:rsidR="00DF36C8" w:rsidRDefault="00DF36C8" w:rsidP="00510C46">
      <w:pPr>
        <w:spacing w:after="120"/>
        <w:jc w:val="both"/>
      </w:pPr>
      <w:r>
        <w:t>Podmínkou zájmu škol je:</w:t>
      </w:r>
    </w:p>
    <w:p w:rsidR="00DF36C8" w:rsidRDefault="00DF36C8" w:rsidP="00352E56">
      <w:pPr>
        <w:pStyle w:val="Odstavecseseznamem"/>
        <w:numPr>
          <w:ilvl w:val="0"/>
          <w:numId w:val="12"/>
        </w:numPr>
        <w:spacing w:after="120"/>
        <w:jc w:val="both"/>
      </w:pPr>
      <w:r>
        <w:t>jednoznačná pozitivní komunikace MŠMT směrem ke školám podporující realizaci programu;</w:t>
      </w:r>
    </w:p>
    <w:p w:rsidR="00DF36C8" w:rsidRDefault="00DF36C8" w:rsidP="00352E56">
      <w:pPr>
        <w:pStyle w:val="Odstavecseseznamem"/>
        <w:numPr>
          <w:ilvl w:val="0"/>
          <w:numId w:val="12"/>
        </w:numPr>
        <w:spacing w:after="120"/>
        <w:jc w:val="both"/>
      </w:pPr>
      <w:r>
        <w:t>zajištění financování alespoň po dobu 3 let;</w:t>
      </w:r>
    </w:p>
    <w:p w:rsidR="00DF36C8" w:rsidRDefault="00C0019D" w:rsidP="00352E56">
      <w:pPr>
        <w:pStyle w:val="Odstavecseseznamem"/>
        <w:numPr>
          <w:ilvl w:val="0"/>
          <w:numId w:val="12"/>
        </w:numPr>
        <w:spacing w:after="120"/>
        <w:jc w:val="both"/>
      </w:pPr>
      <w:r>
        <w:t>souběžně probíhající úpravy RVP ZV (v rámci pravidelné revize koordinované MŠMT a NÚV);</w:t>
      </w:r>
    </w:p>
    <w:p w:rsidR="00C0019D" w:rsidRPr="00510C46" w:rsidRDefault="00C0019D" w:rsidP="00352E56">
      <w:pPr>
        <w:pStyle w:val="Odstavecseseznamem"/>
        <w:numPr>
          <w:ilvl w:val="0"/>
          <w:numId w:val="12"/>
        </w:numPr>
        <w:spacing w:after="120"/>
        <w:jc w:val="both"/>
      </w:pPr>
      <w:r>
        <w:t xml:space="preserve">zajištění </w:t>
      </w:r>
      <w:r w:rsidR="00602395">
        <w:t xml:space="preserve">kvalitního a </w:t>
      </w:r>
      <w:r>
        <w:t>dostupného vzdělávání pedagogických pracovníků vycházejícího z principů a obsahu metodiky v přípravné fázi i v rámci DVPP.</w:t>
      </w:r>
    </w:p>
    <w:p w:rsidR="00510C46" w:rsidRPr="00510C46" w:rsidRDefault="00510C46" w:rsidP="00510C46">
      <w:pPr>
        <w:spacing w:after="120"/>
        <w:jc w:val="both"/>
      </w:pPr>
      <w:r w:rsidRPr="00510C46">
        <w:t xml:space="preserve">Protože je cílem zasáhnout co největší množství škol/žáků/učitelů a vychovatelů, </w:t>
      </w:r>
      <w:r w:rsidR="00C0019D">
        <w:t>je vhodné v rá</w:t>
      </w:r>
      <w:r w:rsidR="00D77242">
        <w:t>m</w:t>
      </w:r>
      <w:r w:rsidR="00C0019D">
        <w:t xml:space="preserve">ci koordinačního </w:t>
      </w:r>
      <w:r w:rsidR="00C0019D" w:rsidRPr="00150DA6">
        <w:t>tý</w:t>
      </w:r>
      <w:r w:rsidR="00150DA6" w:rsidRPr="00150DA6">
        <w:t>m</w:t>
      </w:r>
      <w:r w:rsidR="00C0019D" w:rsidRPr="00150DA6">
        <w:t>u</w:t>
      </w:r>
      <w:r w:rsidR="00C0019D">
        <w:t xml:space="preserve"> zjišťovat</w:t>
      </w:r>
      <w:r w:rsidRPr="00510C46">
        <w:t xml:space="preserve"> bariéry pro školy</w:t>
      </w:r>
      <w:r w:rsidR="00C0019D">
        <w:t xml:space="preserve"> bránící jim v přihlášce</w:t>
      </w:r>
      <w:r w:rsidRPr="00510C46">
        <w:t>.</w:t>
      </w:r>
    </w:p>
    <w:p w:rsidR="00510C46" w:rsidRPr="00510C46" w:rsidRDefault="00510C46" w:rsidP="00352E56">
      <w:pPr>
        <w:pStyle w:val="Odstavecseseznamem"/>
        <w:numPr>
          <w:ilvl w:val="1"/>
          <w:numId w:val="4"/>
        </w:numPr>
        <w:spacing w:after="120"/>
        <w:jc w:val="both"/>
        <w:rPr>
          <w:b/>
          <w:bCs/>
        </w:rPr>
      </w:pPr>
      <w:r w:rsidRPr="00510C46">
        <w:rPr>
          <w:b/>
          <w:bCs/>
        </w:rPr>
        <w:t>Komunikační strategie</w:t>
      </w:r>
    </w:p>
    <w:p w:rsidR="00510C46" w:rsidRPr="00510C46" w:rsidRDefault="00510C46" w:rsidP="00510C46">
      <w:pPr>
        <w:spacing w:after="120"/>
        <w:jc w:val="both"/>
      </w:pPr>
      <w:r w:rsidRPr="00510C46">
        <w:t>MŠMT a řídící tým zajistí informovanost po obsahové stránce. Komunikaci si řídí MŠMT. Odbornou komunikaci zajistí NÚV a ŘT prezentací programu na vhodných konferencích profesních skupin a partnerů, včetně sportovní reprezentace.</w:t>
      </w:r>
      <w:r w:rsidR="00602395">
        <w:t xml:space="preserve"> MŠMT využívá k propagaci programu HPN každoroční </w:t>
      </w:r>
      <w:r w:rsidR="00602395" w:rsidRPr="00602395">
        <w:t xml:space="preserve">Soubor </w:t>
      </w:r>
      <w:proofErr w:type="spellStart"/>
      <w:r w:rsidR="00602395" w:rsidRPr="00602395">
        <w:t>pedagogicko</w:t>
      </w:r>
      <w:proofErr w:type="spellEnd"/>
      <w:r w:rsidR="00602395" w:rsidRPr="00602395">
        <w:t xml:space="preserve"> organizačních informací</w:t>
      </w:r>
      <w:r w:rsidR="00602395">
        <w:t xml:space="preserve"> a další dostupné informační kanály.</w:t>
      </w:r>
    </w:p>
    <w:p w:rsidR="00510C46" w:rsidRPr="00510C46" w:rsidRDefault="00510C46" w:rsidP="00352E56">
      <w:pPr>
        <w:pStyle w:val="Odstavecseseznamem"/>
        <w:numPr>
          <w:ilvl w:val="1"/>
          <w:numId w:val="4"/>
        </w:numPr>
        <w:spacing w:after="120"/>
        <w:jc w:val="both"/>
        <w:rPr>
          <w:b/>
          <w:bCs/>
        </w:rPr>
      </w:pPr>
      <w:proofErr w:type="spellStart"/>
      <w:r w:rsidRPr="00510C46">
        <w:rPr>
          <w:b/>
          <w:bCs/>
        </w:rPr>
        <w:t>Minikonference</w:t>
      </w:r>
      <w:proofErr w:type="spellEnd"/>
      <w:r w:rsidRPr="00510C46">
        <w:rPr>
          <w:b/>
          <w:bCs/>
        </w:rPr>
        <w:t xml:space="preserve"> a festivaly</w:t>
      </w:r>
    </w:p>
    <w:p w:rsidR="00510C46" w:rsidRPr="00510C46" w:rsidRDefault="00510C46" w:rsidP="00510C46">
      <w:pPr>
        <w:spacing w:after="120"/>
        <w:jc w:val="both"/>
      </w:pPr>
      <w:r w:rsidRPr="00510C46">
        <w:t xml:space="preserve">Jsou považovány komunitou vzdělavatelů pedagogických pracovníků za velice efektivní nástroj podpory profesní komunity a neformálního/informálního učení profesionálů. Doporučujeme jejich realizaci v rámci aktivit AŠSK, která má největší síť partnerských ZŠ. Umožnilo by to rozšířit činnosti a reputaci AŠSK i do prvních stupňů ZŠ a do MŠ. </w:t>
      </w:r>
    </w:p>
    <w:p w:rsidR="00510C46" w:rsidRPr="00510C46" w:rsidRDefault="00510C46" w:rsidP="00510C46">
      <w:pPr>
        <w:spacing w:after="120"/>
        <w:jc w:val="both"/>
      </w:pPr>
      <w:r w:rsidRPr="00510C46">
        <w:t>Financování by se odehrávalo v rámci sekce sportu v příslušném dotačním titulu (školní sport) jeho navýšením</w:t>
      </w:r>
      <w:r w:rsidR="00C0019D">
        <w:t xml:space="preserve"> o </w:t>
      </w:r>
      <w:r w:rsidR="00D77242">
        <w:rPr>
          <w:highlight w:val="yellow"/>
        </w:rPr>
        <w:t>3.</w:t>
      </w:r>
      <w:r w:rsidR="00C0019D">
        <w:rPr>
          <w:highlight w:val="yellow"/>
        </w:rPr>
        <w:t>5</w:t>
      </w:r>
      <w:r w:rsidR="00D77242">
        <w:rPr>
          <w:highlight w:val="yellow"/>
        </w:rPr>
        <w:t>00.000</w:t>
      </w:r>
      <w:r w:rsidR="00150DA6">
        <w:rPr>
          <w:highlight w:val="yellow"/>
        </w:rPr>
        <w:t xml:space="preserve"> </w:t>
      </w:r>
      <w:r w:rsidR="00C0019D" w:rsidRPr="00C0019D">
        <w:rPr>
          <w:highlight w:val="yellow"/>
        </w:rPr>
        <w:t>Kč</w:t>
      </w:r>
      <w:r w:rsidR="00C0019D">
        <w:t xml:space="preserve"> ročně (odhadovaná cena 1 krajského festivalu: 250 000 Kč vč. provozních výdajů realizátora). Financování by mělo být v první fázi zajištěno po dobu 3 kalendářních let (v úhrnném rozsahu </w:t>
      </w:r>
      <w:r w:rsidR="00C0019D" w:rsidRPr="00C0019D">
        <w:rPr>
          <w:highlight w:val="yellow"/>
        </w:rPr>
        <w:t>10</w:t>
      </w:r>
      <w:r w:rsidR="00D77242">
        <w:rPr>
          <w:highlight w:val="yellow"/>
        </w:rPr>
        <w:t>.</w:t>
      </w:r>
      <w:r w:rsidR="00C0019D" w:rsidRPr="00C0019D">
        <w:rPr>
          <w:highlight w:val="yellow"/>
        </w:rPr>
        <w:t>500</w:t>
      </w:r>
      <w:r w:rsidR="00D77242">
        <w:rPr>
          <w:highlight w:val="yellow"/>
        </w:rPr>
        <w:t>.</w:t>
      </w:r>
      <w:r w:rsidR="00C0019D" w:rsidRPr="00C0019D">
        <w:rPr>
          <w:highlight w:val="yellow"/>
        </w:rPr>
        <w:t>000</w:t>
      </w:r>
      <w:r w:rsidR="00C0019D">
        <w:t xml:space="preserve"> Kč).</w:t>
      </w:r>
    </w:p>
    <w:p w:rsidR="00510C46" w:rsidRPr="00510C46" w:rsidRDefault="00510C46" w:rsidP="00352E56">
      <w:pPr>
        <w:pStyle w:val="Odstavecseseznamem"/>
        <w:numPr>
          <w:ilvl w:val="1"/>
          <w:numId w:val="4"/>
        </w:numPr>
        <w:spacing w:after="120"/>
        <w:jc w:val="both"/>
        <w:rPr>
          <w:b/>
          <w:bCs/>
        </w:rPr>
      </w:pPr>
      <w:r w:rsidRPr="00510C46">
        <w:rPr>
          <w:b/>
          <w:bCs/>
        </w:rPr>
        <w:lastRenderedPageBreak/>
        <w:t>Kvalitní a profesionální vzdělávání inspektorů ČŠI</w:t>
      </w:r>
    </w:p>
    <w:p w:rsidR="00510C46" w:rsidRPr="00510C46" w:rsidRDefault="00C0019D" w:rsidP="00510C46">
      <w:pPr>
        <w:spacing w:after="120"/>
        <w:jc w:val="both"/>
      </w:pPr>
      <w:r>
        <w:t>Zkušenost se vzděláváním v rámci zavádění „společného vzdělávání“ ukazuje, že ČŠI vítá vzdělávání v oblasti didaktiky, metodiky a pedagogického hodnocení v případě, že prvky metodiky budou zaváděny jako systémová inovace (RVP ZV)</w:t>
      </w:r>
      <w:r w:rsidR="00510C46" w:rsidRPr="00510C46">
        <w:t xml:space="preserve">. Vzdělávání by se odehrávalo v podobném duchu, jako je akreditován kurz pro budoucí vzdělavatele programu HPN (NIDV). Vzdělávání by bylo financování z rozpočtu ČŠI </w:t>
      </w:r>
      <w:r>
        <w:t xml:space="preserve">jeho navýšením o </w:t>
      </w:r>
      <w:r w:rsidRPr="00C0019D">
        <w:rPr>
          <w:highlight w:val="yellow"/>
        </w:rPr>
        <w:t>1</w:t>
      </w:r>
      <w:r w:rsidR="00D77242">
        <w:rPr>
          <w:highlight w:val="yellow"/>
        </w:rPr>
        <w:t>.000.000</w:t>
      </w:r>
      <w:r w:rsidRPr="00C0019D">
        <w:rPr>
          <w:highlight w:val="yellow"/>
        </w:rPr>
        <w:t xml:space="preserve"> Kč v roce 2018</w:t>
      </w:r>
      <w:r>
        <w:t>.</w:t>
      </w:r>
    </w:p>
    <w:p w:rsidR="00510C46" w:rsidRPr="00510C46" w:rsidRDefault="00C0019D" w:rsidP="00352E56">
      <w:pPr>
        <w:pStyle w:val="Odstavecseseznamem"/>
        <w:numPr>
          <w:ilvl w:val="1"/>
          <w:numId w:val="4"/>
        </w:numPr>
        <w:spacing w:after="120"/>
        <w:jc w:val="both"/>
        <w:rPr>
          <w:b/>
          <w:bCs/>
        </w:rPr>
      </w:pPr>
      <w:r>
        <w:rPr>
          <w:b/>
          <w:bCs/>
        </w:rPr>
        <w:t>Snaha o ovlivnění</w:t>
      </w:r>
      <w:r w:rsidR="00510C46" w:rsidRPr="00510C46">
        <w:rPr>
          <w:b/>
          <w:bCs/>
        </w:rPr>
        <w:t xml:space="preserve"> kurikula počátečního vzdělávání a profesní přípravy učitelů</w:t>
      </w:r>
    </w:p>
    <w:p w:rsidR="00510C46" w:rsidRPr="00510C46" w:rsidRDefault="00510C46" w:rsidP="00510C46">
      <w:pPr>
        <w:spacing w:after="120"/>
        <w:jc w:val="both"/>
      </w:pPr>
      <w:r w:rsidRPr="00510C46">
        <w:t xml:space="preserve">V případě středních pedagogických škol by byla možná s ohledem na </w:t>
      </w:r>
      <w:r w:rsidRPr="00C576D2">
        <w:rPr>
          <w:i/>
        </w:rPr>
        <w:t>plánované revize RVP</w:t>
      </w:r>
      <w:r w:rsidRPr="00510C46">
        <w:t>. To by znamenalo, že by se jednalo o zcela systémový a transparentní proces, kde by požadavek na proměnu vycházel z veřejného zájmu definovaného zjištěními pokusného ověřování a zkušenostmi z přípravy nejmladších dětí v rámci činnosti sportovních svazů ve sportování dětí a mládeže.</w:t>
      </w:r>
    </w:p>
    <w:p w:rsidR="00510C46" w:rsidRPr="00510C46" w:rsidRDefault="00510C46" w:rsidP="00510C46">
      <w:pPr>
        <w:spacing w:after="120"/>
        <w:jc w:val="both"/>
      </w:pPr>
      <w:r w:rsidRPr="00510C46">
        <w:t>Bez získání komunity vzdělavatelů těchto škol, tedy bez otevřeného a transparentního jednání nelze dosáhnout žádného výsledku.</w:t>
      </w:r>
    </w:p>
    <w:p w:rsidR="00510C46" w:rsidRPr="00510C46" w:rsidRDefault="00510C46" w:rsidP="00510C46">
      <w:pPr>
        <w:spacing w:after="120"/>
        <w:jc w:val="both"/>
      </w:pPr>
      <w:r w:rsidRPr="00510C46">
        <w:t>Podobně je tomu s přípravou učitelů na VŠ. Autonomie VŠ je významný faktor, proto musí řídící tým a MŠMT zapracovat na odborné validitě a spolehlivosti argumentace pro doplnění kurikula tohoto studia o prvky programu HPN. MŠMT může následně posílit šance na změny svou neformální autoritou při jednání s jednotlivými školami a akreditačním úřadem.</w:t>
      </w:r>
    </w:p>
    <w:p w:rsidR="00510C46" w:rsidRDefault="00510C46" w:rsidP="00510C46">
      <w:pPr>
        <w:spacing w:after="120"/>
        <w:jc w:val="both"/>
      </w:pPr>
    </w:p>
    <w:p w:rsidR="0026312C" w:rsidRPr="00510C46" w:rsidRDefault="0026312C" w:rsidP="00510C46">
      <w:pPr>
        <w:spacing w:after="120"/>
        <w:jc w:val="both"/>
      </w:pPr>
      <w:r>
        <w:t xml:space="preserve">Návrh zpracovali dne </w:t>
      </w:r>
      <w:r w:rsidR="00602395">
        <w:t>19</w:t>
      </w:r>
      <w:r>
        <w:t>. 1. 201</w:t>
      </w:r>
      <w:r w:rsidR="00602395">
        <w:t>7</w:t>
      </w:r>
    </w:p>
    <w:p w:rsidR="00510C46" w:rsidRPr="00510C46" w:rsidRDefault="00602395" w:rsidP="00510C46">
      <w:pPr>
        <w:spacing w:after="120"/>
        <w:jc w:val="both"/>
      </w:pPr>
      <w:r>
        <w:t xml:space="preserve">Petr </w:t>
      </w:r>
      <w:proofErr w:type="spellStart"/>
      <w:r>
        <w:t>Gawlas</w:t>
      </w:r>
      <w:proofErr w:type="spellEnd"/>
      <w:r>
        <w:t xml:space="preserve">, </w:t>
      </w:r>
      <w:r w:rsidR="0026312C">
        <w:t>Petr Koubek, Martin Kafka, Petr Polívka, řídící tým HPN</w:t>
      </w:r>
      <w:r>
        <w:t xml:space="preserve"> s podporou NÚV</w:t>
      </w:r>
      <w:r w:rsidR="0026312C">
        <w:t>.</w:t>
      </w:r>
    </w:p>
    <w:p w:rsidR="009C1B1A" w:rsidRDefault="009C1B1A" w:rsidP="00D51B1F">
      <w:pPr>
        <w:spacing w:after="120"/>
        <w:jc w:val="both"/>
      </w:pPr>
    </w:p>
    <w:p w:rsidR="007E034E" w:rsidRDefault="007E034E" w:rsidP="005E323C">
      <w:pPr>
        <w:rPr>
          <w:b/>
        </w:rPr>
      </w:pPr>
    </w:p>
    <w:p w:rsidR="007E034E" w:rsidRDefault="007E034E" w:rsidP="005E323C">
      <w:pPr>
        <w:rPr>
          <w:b/>
        </w:rPr>
      </w:pPr>
    </w:p>
    <w:p w:rsidR="00841B09" w:rsidRPr="006605E9" w:rsidRDefault="00BA4018" w:rsidP="00352E56">
      <w:pPr>
        <w:pStyle w:val="Odstavecseseznamem"/>
        <w:numPr>
          <w:ilvl w:val="0"/>
          <w:numId w:val="4"/>
        </w:numPr>
        <w:rPr>
          <w:b/>
        </w:rPr>
      </w:pPr>
      <w:r w:rsidRPr="006605E9">
        <w:rPr>
          <w:b/>
        </w:rPr>
        <w:t>F</w:t>
      </w:r>
      <w:r w:rsidR="00841B09" w:rsidRPr="006605E9">
        <w:rPr>
          <w:b/>
        </w:rPr>
        <w:t>. Přílohy</w:t>
      </w:r>
    </w:p>
    <w:p w:rsidR="00B300B8" w:rsidRDefault="007129F1" w:rsidP="0074454D">
      <w:pPr>
        <w:spacing w:after="120"/>
      </w:pPr>
      <w:r>
        <w:t>Příloha č. 1</w:t>
      </w:r>
      <w:r w:rsidR="0074454D">
        <w:t xml:space="preserve">: </w:t>
      </w:r>
      <w:r w:rsidR="00CD2783">
        <w:t>Evaluační</w:t>
      </w:r>
      <w:r w:rsidR="0074454D">
        <w:t xml:space="preserve"> zpráva o realizaci pokusného ověřování účinnosti programu Hodina pohybu navíc</w:t>
      </w:r>
      <w:r w:rsidR="006605E9">
        <w:t>.</w:t>
      </w:r>
    </w:p>
    <w:p w:rsidR="006605E9" w:rsidRDefault="006605E9" w:rsidP="0074454D">
      <w:pPr>
        <w:spacing w:after="120"/>
      </w:pPr>
      <w:r>
        <w:t>Příloha č. 2: Grafické zpracování harmonogramu plošného rozšíření programu.</w:t>
      </w:r>
    </w:p>
    <w:p w:rsidR="00602395" w:rsidRDefault="00602395" w:rsidP="0074454D">
      <w:pPr>
        <w:spacing w:after="120"/>
      </w:pPr>
      <w:r>
        <w:t>Příloha č. 3: Status report: s</w:t>
      </w:r>
      <w:r w:rsidRPr="00602395">
        <w:t xml:space="preserve">tav </w:t>
      </w:r>
      <w:r>
        <w:t>pokusného ověřování</w:t>
      </w:r>
      <w:r w:rsidRPr="00602395">
        <w:t xml:space="preserve"> k 19. lednu 2017</w:t>
      </w:r>
    </w:p>
    <w:p w:rsidR="00841B09" w:rsidRDefault="00841B09" w:rsidP="00CC17FE">
      <w:pPr>
        <w:spacing w:before="120" w:after="200" w:line="276" w:lineRule="auto"/>
        <w:jc w:val="both"/>
        <w:rPr>
          <w:rFonts w:eastAsiaTheme="minorHAnsi"/>
          <w:szCs w:val="22"/>
          <w:lang w:eastAsia="en-US"/>
        </w:rPr>
      </w:pPr>
    </w:p>
    <w:sectPr w:rsidR="00841B09" w:rsidSect="00BF647C">
      <w:headerReference w:type="default" r:id="rId10"/>
      <w:footerReference w:type="default" r:id="rId11"/>
      <w:pgSz w:w="11907" w:h="16840" w:code="9"/>
      <w:pgMar w:top="993" w:right="1134" w:bottom="993" w:left="1134" w:header="709" w:footer="709" w:gutter="0"/>
      <w:pgNumType w:start="9"/>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51" w:rsidRDefault="007D6C51" w:rsidP="00494F79">
      <w:r>
        <w:separator/>
      </w:r>
    </w:p>
  </w:endnote>
  <w:endnote w:type="continuationSeparator" w:id="0">
    <w:p w:rsidR="007D6C51" w:rsidRDefault="007D6C51" w:rsidP="0049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09297"/>
      <w:docPartObj>
        <w:docPartGallery w:val="Page Numbers (Bottom of Page)"/>
        <w:docPartUnique/>
      </w:docPartObj>
    </w:sdtPr>
    <w:sdtContent>
      <w:p w:rsidR="00510C46" w:rsidRDefault="00CF4A50">
        <w:pPr>
          <w:pStyle w:val="Zpat"/>
          <w:jc w:val="center"/>
        </w:pPr>
        <w:r>
          <w:fldChar w:fldCharType="begin"/>
        </w:r>
        <w:r w:rsidR="00B21603">
          <w:instrText xml:space="preserve"> PAGE   \* MERGEFORMAT </w:instrText>
        </w:r>
        <w:r>
          <w:fldChar w:fldCharType="separate"/>
        </w:r>
        <w:r w:rsidR="00AF699B">
          <w:rPr>
            <w:noProof/>
          </w:rPr>
          <w:t>2</w:t>
        </w:r>
        <w:r>
          <w:rPr>
            <w:noProof/>
          </w:rPr>
          <w:fldChar w:fldCharType="end"/>
        </w:r>
      </w:p>
    </w:sdtContent>
  </w:sdt>
  <w:p w:rsidR="00510C46" w:rsidRDefault="00510C4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46" w:rsidRDefault="00CF4A50">
    <w:pPr>
      <w:pStyle w:val="Zpat"/>
      <w:jc w:val="center"/>
    </w:pPr>
    <w:r>
      <w:fldChar w:fldCharType="begin"/>
    </w:r>
    <w:r w:rsidR="00B21603">
      <w:instrText>PAGE   \* MERGEFORMAT</w:instrText>
    </w:r>
    <w:r>
      <w:fldChar w:fldCharType="separate"/>
    </w:r>
    <w:r w:rsidR="00AF699B">
      <w:rPr>
        <w:noProof/>
      </w:rPr>
      <w:t>11</w:t>
    </w:r>
    <w:r>
      <w:rPr>
        <w:noProof/>
      </w:rPr>
      <w:fldChar w:fldCharType="end"/>
    </w:r>
  </w:p>
  <w:p w:rsidR="00510C46" w:rsidRDefault="00510C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51" w:rsidRDefault="007D6C51" w:rsidP="00494F79">
      <w:r>
        <w:separator/>
      </w:r>
    </w:p>
  </w:footnote>
  <w:footnote w:type="continuationSeparator" w:id="0">
    <w:p w:rsidR="007D6C51" w:rsidRDefault="007D6C51" w:rsidP="00494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32" w:rsidRPr="00A161E5" w:rsidRDefault="004C6C32" w:rsidP="004C6C32">
    <w:pPr>
      <w:pStyle w:val="Zhlav"/>
      <w:rPr>
        <w:sz w:val="20"/>
      </w:rPr>
    </w:pPr>
    <w:r w:rsidRPr="00A161E5">
      <w:rPr>
        <w:sz w:val="20"/>
      </w:rPr>
      <w:t>Návrh pro PV</w:t>
    </w:r>
  </w:p>
  <w:p w:rsidR="004C6C32" w:rsidRPr="00A161E5" w:rsidRDefault="004C6C32" w:rsidP="004C6C32">
    <w:pPr>
      <w:pStyle w:val="Zhlav"/>
      <w:rPr>
        <w:sz w:val="20"/>
      </w:rPr>
    </w:pPr>
    <w:r w:rsidRPr="00A161E5">
      <w:rPr>
        <w:sz w:val="20"/>
      </w:rPr>
      <w:t xml:space="preserve"> č. j.: MSMT-11416/2015</w:t>
    </w:r>
    <w:r>
      <w:rPr>
        <w:sz w:val="20"/>
      </w:rPr>
      <w:t>-XX</w:t>
    </w:r>
  </w:p>
  <w:p w:rsidR="004C6C32" w:rsidRDefault="004C6C3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46" w:rsidRDefault="00510C46" w:rsidP="00E55B48">
    <w:pPr>
      <w:pStyle w:val="Zhlav"/>
      <w:rPr>
        <w:sz w:val="20"/>
      </w:rPr>
    </w:pPr>
    <w:r>
      <w:rPr>
        <w:sz w:val="20"/>
      </w:rPr>
      <w:t>Návrh pro PV</w:t>
    </w:r>
  </w:p>
  <w:p w:rsidR="00510C46" w:rsidRDefault="00510C46" w:rsidP="00E55B48">
    <w:pPr>
      <w:pStyle w:val="Zhlav"/>
      <w:rPr>
        <w:sz w:val="20"/>
      </w:rPr>
    </w:pPr>
    <w:r>
      <w:rPr>
        <w:sz w:val="20"/>
      </w:rPr>
      <w:t xml:space="preserve"> č. j.: MSMT-11416/2015-XX</w:t>
    </w:r>
  </w:p>
  <w:p w:rsidR="00510C46" w:rsidRDefault="00510C4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4"/>
    <w:lvl w:ilvl="0">
      <w:start w:val="3"/>
      <w:numFmt w:val="bullet"/>
      <w:lvlText w:val="–"/>
      <w:lvlJc w:val="left"/>
      <w:pPr>
        <w:tabs>
          <w:tab w:val="num" w:pos="720"/>
        </w:tabs>
        <w:ind w:left="720" w:hanging="360"/>
      </w:pPr>
      <w:rPr>
        <w:rFonts w:ascii="Times New Roman" w:hAnsi="Times New Roman" w:cs="Arial"/>
      </w:rPr>
    </w:lvl>
    <w:lvl w:ilvl="1">
      <w:start w:val="1"/>
      <w:numFmt w:val="bullet"/>
      <w:lvlText w:val="o"/>
      <w:lvlJc w:val="left"/>
      <w:pPr>
        <w:tabs>
          <w:tab w:val="num" w:pos="1080"/>
        </w:tabs>
        <w:ind w:left="1080" w:hanging="360"/>
      </w:pPr>
      <w:rPr>
        <w:rFonts w:ascii="Courier New" w:hAnsi="Courier New" w:cs="Times New Roman"/>
        <w:u w:val="single"/>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Times New Roman"/>
        <w:u w:val="single"/>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Times New Roman"/>
        <w:u w:val="single"/>
      </w:rPr>
    </w:lvl>
    <w:lvl w:ilvl="8">
      <w:start w:val="1"/>
      <w:numFmt w:val="bullet"/>
      <w:lvlText w:val=""/>
      <w:lvlJc w:val="left"/>
      <w:pPr>
        <w:tabs>
          <w:tab w:val="num" w:pos="3600"/>
        </w:tabs>
        <w:ind w:left="3600" w:hanging="360"/>
      </w:pPr>
      <w:rPr>
        <w:rFonts w:ascii="Wingdings" w:hAnsi="Wingdings"/>
      </w:rPr>
    </w:lvl>
  </w:abstractNum>
  <w:abstractNum w:abstractNumId="1">
    <w:nsid w:val="11BE688B"/>
    <w:multiLevelType w:val="hybridMultilevel"/>
    <w:tmpl w:val="F93049D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17125427"/>
    <w:multiLevelType w:val="hybridMultilevel"/>
    <w:tmpl w:val="647A21A6"/>
    <w:lvl w:ilvl="0" w:tplc="E0B4E688">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79E2EAF"/>
    <w:multiLevelType w:val="multilevel"/>
    <w:tmpl w:val="2DC43F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EE2030"/>
    <w:multiLevelType w:val="hybridMultilevel"/>
    <w:tmpl w:val="2F98233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3B5B40F0"/>
    <w:multiLevelType w:val="hybridMultilevel"/>
    <w:tmpl w:val="0E3083E0"/>
    <w:lvl w:ilvl="0" w:tplc="E0B4E688">
      <w:start w:val="1"/>
      <w:numFmt w:val="lowerLetter"/>
      <w:lvlText w:val="%1"/>
      <w:lvlJc w:val="left"/>
      <w:pPr>
        <w:ind w:left="780" w:hanging="360"/>
      </w:pPr>
      <w:rPr>
        <w:rFonts w:hint="default"/>
      </w:rPr>
    </w:lvl>
    <w:lvl w:ilvl="1" w:tplc="0405001B">
      <w:start w:val="1"/>
      <w:numFmt w:val="lowerRoman"/>
      <w:lvlText w:val="%2."/>
      <w:lvlJc w:val="righ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nsid w:val="50AC1442"/>
    <w:multiLevelType w:val="multilevel"/>
    <w:tmpl w:val="0405001F"/>
    <w:styleLink w:val="Styl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EE8229A"/>
    <w:multiLevelType w:val="hybridMultilevel"/>
    <w:tmpl w:val="6726915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633355FC"/>
    <w:multiLevelType w:val="hybridMultilevel"/>
    <w:tmpl w:val="263C15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D9240F"/>
    <w:multiLevelType w:val="hybridMultilevel"/>
    <w:tmpl w:val="244A8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064730"/>
    <w:multiLevelType w:val="hybridMultilevel"/>
    <w:tmpl w:val="7D9C37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AA5035"/>
    <w:multiLevelType w:val="multilevel"/>
    <w:tmpl w:val="6F4422DA"/>
    <w:styleLink w:val="Styl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BE00A5C"/>
    <w:multiLevelType w:val="hybridMultilevel"/>
    <w:tmpl w:val="58F2B9A0"/>
    <w:lvl w:ilvl="0" w:tplc="04050001">
      <w:start w:val="1"/>
      <w:numFmt w:val="bullet"/>
      <w:lvlText w:val=""/>
      <w:lvlJc w:val="left"/>
      <w:pPr>
        <w:ind w:left="765" w:hanging="360"/>
      </w:pPr>
      <w:rPr>
        <w:rFonts w:ascii="Symbol" w:hAnsi="Symbol" w:hint="default"/>
      </w:rPr>
    </w:lvl>
    <w:lvl w:ilvl="1" w:tplc="E132F5AC">
      <w:start w:val="1"/>
      <w:numFmt w:val="bullet"/>
      <w:lvlText w:val="-"/>
      <w:lvlJc w:val="left"/>
      <w:pPr>
        <w:ind w:left="1485" w:hanging="360"/>
      </w:pPr>
      <w:rPr>
        <w:rFonts w:ascii="Calibri" w:eastAsiaTheme="minorHAnsi" w:hAnsi="Calibri" w:cstheme="minorBidi"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6"/>
  </w:num>
  <w:num w:numId="2">
    <w:abstractNumId w:val="11"/>
  </w:num>
  <w:num w:numId="3">
    <w:abstractNumId w:val="1"/>
  </w:num>
  <w:num w:numId="4">
    <w:abstractNumId w:val="3"/>
  </w:num>
  <w:num w:numId="5">
    <w:abstractNumId w:val="12"/>
  </w:num>
  <w:num w:numId="6">
    <w:abstractNumId w:val="8"/>
  </w:num>
  <w:num w:numId="7">
    <w:abstractNumId w:val="10"/>
  </w:num>
  <w:num w:numId="8">
    <w:abstractNumId w:val="4"/>
  </w:num>
  <w:num w:numId="9">
    <w:abstractNumId w:val="7"/>
  </w:num>
  <w:num w:numId="10">
    <w:abstractNumId w:val="2"/>
  </w:num>
  <w:num w:numId="11">
    <w:abstractNumId w:val="5"/>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DE5254"/>
    <w:rsid w:val="000033ED"/>
    <w:rsid w:val="0001112A"/>
    <w:rsid w:val="00020001"/>
    <w:rsid w:val="00022BA0"/>
    <w:rsid w:val="00032448"/>
    <w:rsid w:val="000345B3"/>
    <w:rsid w:val="00035234"/>
    <w:rsid w:val="00037B31"/>
    <w:rsid w:val="000417B4"/>
    <w:rsid w:val="00044104"/>
    <w:rsid w:val="00047902"/>
    <w:rsid w:val="00050ED5"/>
    <w:rsid w:val="0005209B"/>
    <w:rsid w:val="00057769"/>
    <w:rsid w:val="0006162E"/>
    <w:rsid w:val="000617D2"/>
    <w:rsid w:val="00066B1E"/>
    <w:rsid w:val="00073AC4"/>
    <w:rsid w:val="00075DD9"/>
    <w:rsid w:val="000768A2"/>
    <w:rsid w:val="00083A1E"/>
    <w:rsid w:val="000A3FFD"/>
    <w:rsid w:val="000B3DC0"/>
    <w:rsid w:val="000B425B"/>
    <w:rsid w:val="000B47E9"/>
    <w:rsid w:val="000B502F"/>
    <w:rsid w:val="000C1439"/>
    <w:rsid w:val="000C692B"/>
    <w:rsid w:val="000E67E5"/>
    <w:rsid w:val="000F0BD5"/>
    <w:rsid w:val="000F2AE6"/>
    <w:rsid w:val="000F6428"/>
    <w:rsid w:val="000F68EE"/>
    <w:rsid w:val="0010293B"/>
    <w:rsid w:val="00102EAA"/>
    <w:rsid w:val="00104B26"/>
    <w:rsid w:val="00105471"/>
    <w:rsid w:val="00106F5E"/>
    <w:rsid w:val="001111AB"/>
    <w:rsid w:val="001169C2"/>
    <w:rsid w:val="00130E3E"/>
    <w:rsid w:val="00131561"/>
    <w:rsid w:val="00147569"/>
    <w:rsid w:val="00150DA6"/>
    <w:rsid w:val="00155588"/>
    <w:rsid w:val="0016144E"/>
    <w:rsid w:val="00164847"/>
    <w:rsid w:val="001757E0"/>
    <w:rsid w:val="00176BE2"/>
    <w:rsid w:val="00180D71"/>
    <w:rsid w:val="00181403"/>
    <w:rsid w:val="00190A39"/>
    <w:rsid w:val="00194AD9"/>
    <w:rsid w:val="001A1179"/>
    <w:rsid w:val="001A2B4D"/>
    <w:rsid w:val="001B05E9"/>
    <w:rsid w:val="001B3020"/>
    <w:rsid w:val="001C0BA4"/>
    <w:rsid w:val="001C672D"/>
    <w:rsid w:val="001C7657"/>
    <w:rsid w:val="001D5A0F"/>
    <w:rsid w:val="001E479C"/>
    <w:rsid w:val="001E4CF6"/>
    <w:rsid w:val="001E61DB"/>
    <w:rsid w:val="001E7A6C"/>
    <w:rsid w:val="001F257B"/>
    <w:rsid w:val="001F3FAE"/>
    <w:rsid w:val="001F4F4C"/>
    <w:rsid w:val="001F55AC"/>
    <w:rsid w:val="001F7D3C"/>
    <w:rsid w:val="00200DA8"/>
    <w:rsid w:val="00206415"/>
    <w:rsid w:val="0020691B"/>
    <w:rsid w:val="002103CA"/>
    <w:rsid w:val="00213003"/>
    <w:rsid w:val="002160D4"/>
    <w:rsid w:val="00232168"/>
    <w:rsid w:val="0023640D"/>
    <w:rsid w:val="00246134"/>
    <w:rsid w:val="002470F8"/>
    <w:rsid w:val="002515E9"/>
    <w:rsid w:val="00252CE9"/>
    <w:rsid w:val="0026312C"/>
    <w:rsid w:val="00265D96"/>
    <w:rsid w:val="002671BD"/>
    <w:rsid w:val="00272921"/>
    <w:rsid w:val="002774A8"/>
    <w:rsid w:val="00282BB0"/>
    <w:rsid w:val="00286894"/>
    <w:rsid w:val="00286B32"/>
    <w:rsid w:val="00294017"/>
    <w:rsid w:val="00295726"/>
    <w:rsid w:val="00295E13"/>
    <w:rsid w:val="002A72DB"/>
    <w:rsid w:val="002B0222"/>
    <w:rsid w:val="002B49A4"/>
    <w:rsid w:val="002B51EC"/>
    <w:rsid w:val="002C251E"/>
    <w:rsid w:val="002C348E"/>
    <w:rsid w:val="002C60FF"/>
    <w:rsid w:val="002C7107"/>
    <w:rsid w:val="002D26E4"/>
    <w:rsid w:val="002D550F"/>
    <w:rsid w:val="002D6268"/>
    <w:rsid w:val="002E2241"/>
    <w:rsid w:val="002E539D"/>
    <w:rsid w:val="002F33C5"/>
    <w:rsid w:val="002F7CF1"/>
    <w:rsid w:val="0030092A"/>
    <w:rsid w:val="003020EE"/>
    <w:rsid w:val="0030521E"/>
    <w:rsid w:val="00305F14"/>
    <w:rsid w:val="00313918"/>
    <w:rsid w:val="00313986"/>
    <w:rsid w:val="003223EE"/>
    <w:rsid w:val="00322B6A"/>
    <w:rsid w:val="003244F8"/>
    <w:rsid w:val="00334E61"/>
    <w:rsid w:val="00347920"/>
    <w:rsid w:val="00352E56"/>
    <w:rsid w:val="00355C5A"/>
    <w:rsid w:val="00361A0A"/>
    <w:rsid w:val="0037169F"/>
    <w:rsid w:val="00385CCD"/>
    <w:rsid w:val="0038761B"/>
    <w:rsid w:val="0039095D"/>
    <w:rsid w:val="00395AB2"/>
    <w:rsid w:val="003A0C89"/>
    <w:rsid w:val="003A2105"/>
    <w:rsid w:val="003A2224"/>
    <w:rsid w:val="003A2414"/>
    <w:rsid w:val="003A3407"/>
    <w:rsid w:val="003A42CF"/>
    <w:rsid w:val="003B1F30"/>
    <w:rsid w:val="003B65AF"/>
    <w:rsid w:val="003C3C9A"/>
    <w:rsid w:val="003D169C"/>
    <w:rsid w:val="003D4519"/>
    <w:rsid w:val="003D562B"/>
    <w:rsid w:val="003D6F62"/>
    <w:rsid w:val="003E108E"/>
    <w:rsid w:val="003E224A"/>
    <w:rsid w:val="003E3642"/>
    <w:rsid w:val="003E4982"/>
    <w:rsid w:val="003E4A40"/>
    <w:rsid w:val="003E4B3F"/>
    <w:rsid w:val="003F030C"/>
    <w:rsid w:val="00402D6E"/>
    <w:rsid w:val="004054F5"/>
    <w:rsid w:val="00407A49"/>
    <w:rsid w:val="00411B09"/>
    <w:rsid w:val="004146BF"/>
    <w:rsid w:val="0041644B"/>
    <w:rsid w:val="00420204"/>
    <w:rsid w:val="004215DB"/>
    <w:rsid w:val="00431853"/>
    <w:rsid w:val="0043667B"/>
    <w:rsid w:val="004409DE"/>
    <w:rsid w:val="0044482A"/>
    <w:rsid w:val="00445559"/>
    <w:rsid w:val="00446F98"/>
    <w:rsid w:val="00447668"/>
    <w:rsid w:val="004508DD"/>
    <w:rsid w:val="0045433E"/>
    <w:rsid w:val="0045686B"/>
    <w:rsid w:val="004571C2"/>
    <w:rsid w:val="00463893"/>
    <w:rsid w:val="00465CF6"/>
    <w:rsid w:val="004731D3"/>
    <w:rsid w:val="004743EB"/>
    <w:rsid w:val="0048458D"/>
    <w:rsid w:val="00486DF4"/>
    <w:rsid w:val="00491FBC"/>
    <w:rsid w:val="004936B3"/>
    <w:rsid w:val="00494E03"/>
    <w:rsid w:val="00494F79"/>
    <w:rsid w:val="00495A09"/>
    <w:rsid w:val="0049655C"/>
    <w:rsid w:val="004A0BB5"/>
    <w:rsid w:val="004A1CC1"/>
    <w:rsid w:val="004A4B75"/>
    <w:rsid w:val="004A4F04"/>
    <w:rsid w:val="004A6918"/>
    <w:rsid w:val="004B1FEC"/>
    <w:rsid w:val="004B6BF3"/>
    <w:rsid w:val="004C20A4"/>
    <w:rsid w:val="004C2286"/>
    <w:rsid w:val="004C45CE"/>
    <w:rsid w:val="004C4E2D"/>
    <w:rsid w:val="004C5267"/>
    <w:rsid w:val="004C6C32"/>
    <w:rsid w:val="004C7C3E"/>
    <w:rsid w:val="004D1D2C"/>
    <w:rsid w:val="004D7302"/>
    <w:rsid w:val="004E2798"/>
    <w:rsid w:val="004E307C"/>
    <w:rsid w:val="00501DBC"/>
    <w:rsid w:val="00503AAF"/>
    <w:rsid w:val="00510C46"/>
    <w:rsid w:val="00511680"/>
    <w:rsid w:val="00516DAF"/>
    <w:rsid w:val="005245D4"/>
    <w:rsid w:val="00532B8C"/>
    <w:rsid w:val="00540ACC"/>
    <w:rsid w:val="005424F6"/>
    <w:rsid w:val="0054438D"/>
    <w:rsid w:val="00545F34"/>
    <w:rsid w:val="00557DA9"/>
    <w:rsid w:val="005601AE"/>
    <w:rsid w:val="005612B2"/>
    <w:rsid w:val="00561BC0"/>
    <w:rsid w:val="00564111"/>
    <w:rsid w:val="005648C1"/>
    <w:rsid w:val="00565A05"/>
    <w:rsid w:val="00566C98"/>
    <w:rsid w:val="00567737"/>
    <w:rsid w:val="0057288B"/>
    <w:rsid w:val="00577B84"/>
    <w:rsid w:val="00584A90"/>
    <w:rsid w:val="00585769"/>
    <w:rsid w:val="00586B57"/>
    <w:rsid w:val="00593D5E"/>
    <w:rsid w:val="005A2018"/>
    <w:rsid w:val="005C013B"/>
    <w:rsid w:val="005C16C4"/>
    <w:rsid w:val="005D1BF9"/>
    <w:rsid w:val="005D264C"/>
    <w:rsid w:val="005D6BE7"/>
    <w:rsid w:val="005E323C"/>
    <w:rsid w:val="005E4249"/>
    <w:rsid w:val="005E5A0B"/>
    <w:rsid w:val="005E68C7"/>
    <w:rsid w:val="005F2655"/>
    <w:rsid w:val="0060008F"/>
    <w:rsid w:val="00602395"/>
    <w:rsid w:val="00605A41"/>
    <w:rsid w:val="00612A48"/>
    <w:rsid w:val="00612FAF"/>
    <w:rsid w:val="006141CC"/>
    <w:rsid w:val="00620207"/>
    <w:rsid w:val="00621F7A"/>
    <w:rsid w:val="006224B5"/>
    <w:rsid w:val="00624683"/>
    <w:rsid w:val="00625FE9"/>
    <w:rsid w:val="00626F06"/>
    <w:rsid w:val="00633828"/>
    <w:rsid w:val="006356D6"/>
    <w:rsid w:val="006368E3"/>
    <w:rsid w:val="00637DF4"/>
    <w:rsid w:val="0064636C"/>
    <w:rsid w:val="006465CD"/>
    <w:rsid w:val="0064753F"/>
    <w:rsid w:val="00650B2B"/>
    <w:rsid w:val="00653537"/>
    <w:rsid w:val="006536FC"/>
    <w:rsid w:val="00655C5B"/>
    <w:rsid w:val="00655EED"/>
    <w:rsid w:val="00656360"/>
    <w:rsid w:val="006567D6"/>
    <w:rsid w:val="006605E9"/>
    <w:rsid w:val="00662E61"/>
    <w:rsid w:val="00663710"/>
    <w:rsid w:val="00663E72"/>
    <w:rsid w:val="00672DD1"/>
    <w:rsid w:val="00673BDF"/>
    <w:rsid w:val="00680DEF"/>
    <w:rsid w:val="00681BEB"/>
    <w:rsid w:val="0068706B"/>
    <w:rsid w:val="00690E75"/>
    <w:rsid w:val="00697858"/>
    <w:rsid w:val="006A3262"/>
    <w:rsid w:val="006B09EF"/>
    <w:rsid w:val="006B25CC"/>
    <w:rsid w:val="006B376C"/>
    <w:rsid w:val="006B4DAE"/>
    <w:rsid w:val="006B64DD"/>
    <w:rsid w:val="006B6E4B"/>
    <w:rsid w:val="006C7124"/>
    <w:rsid w:val="006C7C03"/>
    <w:rsid w:val="006C7E83"/>
    <w:rsid w:val="006D141F"/>
    <w:rsid w:val="006D3289"/>
    <w:rsid w:val="006D3C06"/>
    <w:rsid w:val="006E11B1"/>
    <w:rsid w:val="006E182C"/>
    <w:rsid w:val="006E444B"/>
    <w:rsid w:val="006E6DB5"/>
    <w:rsid w:val="006F0F14"/>
    <w:rsid w:val="00704814"/>
    <w:rsid w:val="007070A1"/>
    <w:rsid w:val="007129F1"/>
    <w:rsid w:val="007143CC"/>
    <w:rsid w:val="007160A7"/>
    <w:rsid w:val="00723390"/>
    <w:rsid w:val="0072612D"/>
    <w:rsid w:val="007356F2"/>
    <w:rsid w:val="00735A99"/>
    <w:rsid w:val="00744166"/>
    <w:rsid w:val="0074420A"/>
    <w:rsid w:val="0074454D"/>
    <w:rsid w:val="00744CB1"/>
    <w:rsid w:val="00746153"/>
    <w:rsid w:val="007475CC"/>
    <w:rsid w:val="00751F3F"/>
    <w:rsid w:val="00753A42"/>
    <w:rsid w:val="00756BCB"/>
    <w:rsid w:val="00760A85"/>
    <w:rsid w:val="007614A6"/>
    <w:rsid w:val="00763C6D"/>
    <w:rsid w:val="00770A8B"/>
    <w:rsid w:val="00775A92"/>
    <w:rsid w:val="00780FC1"/>
    <w:rsid w:val="00782C46"/>
    <w:rsid w:val="00790FC5"/>
    <w:rsid w:val="0079221C"/>
    <w:rsid w:val="007967CF"/>
    <w:rsid w:val="00797656"/>
    <w:rsid w:val="007A0355"/>
    <w:rsid w:val="007A061A"/>
    <w:rsid w:val="007A5723"/>
    <w:rsid w:val="007A66C4"/>
    <w:rsid w:val="007A6D9B"/>
    <w:rsid w:val="007A7FD7"/>
    <w:rsid w:val="007B28D5"/>
    <w:rsid w:val="007C1D07"/>
    <w:rsid w:val="007C3BDF"/>
    <w:rsid w:val="007D2939"/>
    <w:rsid w:val="007D42BD"/>
    <w:rsid w:val="007D64D2"/>
    <w:rsid w:val="007D6C51"/>
    <w:rsid w:val="007E034E"/>
    <w:rsid w:val="007E0B24"/>
    <w:rsid w:val="007E0C4A"/>
    <w:rsid w:val="007E2460"/>
    <w:rsid w:val="007E41C8"/>
    <w:rsid w:val="007E7664"/>
    <w:rsid w:val="00800C40"/>
    <w:rsid w:val="00803A6B"/>
    <w:rsid w:val="00813A5C"/>
    <w:rsid w:val="00816194"/>
    <w:rsid w:val="00816A07"/>
    <w:rsid w:val="008202A0"/>
    <w:rsid w:val="008213EE"/>
    <w:rsid w:val="0082669F"/>
    <w:rsid w:val="008326A6"/>
    <w:rsid w:val="00835778"/>
    <w:rsid w:val="00835AD4"/>
    <w:rsid w:val="00835BC3"/>
    <w:rsid w:val="00836177"/>
    <w:rsid w:val="00841272"/>
    <w:rsid w:val="00841B09"/>
    <w:rsid w:val="00844DC4"/>
    <w:rsid w:val="00845555"/>
    <w:rsid w:val="0084568E"/>
    <w:rsid w:val="00845F75"/>
    <w:rsid w:val="008511CF"/>
    <w:rsid w:val="00852761"/>
    <w:rsid w:val="0085456F"/>
    <w:rsid w:val="00854913"/>
    <w:rsid w:val="00865728"/>
    <w:rsid w:val="00881722"/>
    <w:rsid w:val="00883E9E"/>
    <w:rsid w:val="00890431"/>
    <w:rsid w:val="008930CF"/>
    <w:rsid w:val="008A6D7D"/>
    <w:rsid w:val="008B0E80"/>
    <w:rsid w:val="008B1399"/>
    <w:rsid w:val="008B54C7"/>
    <w:rsid w:val="008C24D1"/>
    <w:rsid w:val="008D1931"/>
    <w:rsid w:val="008D564D"/>
    <w:rsid w:val="008D6C14"/>
    <w:rsid w:val="008E42C9"/>
    <w:rsid w:val="008E515D"/>
    <w:rsid w:val="008F2F55"/>
    <w:rsid w:val="008F3134"/>
    <w:rsid w:val="008F551C"/>
    <w:rsid w:val="008F6118"/>
    <w:rsid w:val="009004B6"/>
    <w:rsid w:val="00901D2E"/>
    <w:rsid w:val="00902490"/>
    <w:rsid w:val="00904088"/>
    <w:rsid w:val="00913DF0"/>
    <w:rsid w:val="00914AA9"/>
    <w:rsid w:val="00915789"/>
    <w:rsid w:val="00917ABE"/>
    <w:rsid w:val="00922440"/>
    <w:rsid w:val="0092537A"/>
    <w:rsid w:val="00927C36"/>
    <w:rsid w:val="009312B1"/>
    <w:rsid w:val="0093158C"/>
    <w:rsid w:val="00931812"/>
    <w:rsid w:val="00932D6F"/>
    <w:rsid w:val="00933936"/>
    <w:rsid w:val="00935C1B"/>
    <w:rsid w:val="00935D0C"/>
    <w:rsid w:val="0093634C"/>
    <w:rsid w:val="0093778B"/>
    <w:rsid w:val="00941C46"/>
    <w:rsid w:val="00943E38"/>
    <w:rsid w:val="00943EC6"/>
    <w:rsid w:val="00946940"/>
    <w:rsid w:val="00947553"/>
    <w:rsid w:val="00947B72"/>
    <w:rsid w:val="00947F5C"/>
    <w:rsid w:val="00951E17"/>
    <w:rsid w:val="009522F6"/>
    <w:rsid w:val="00953B1A"/>
    <w:rsid w:val="00960ADC"/>
    <w:rsid w:val="00960CDD"/>
    <w:rsid w:val="00960FA4"/>
    <w:rsid w:val="009628C3"/>
    <w:rsid w:val="00964271"/>
    <w:rsid w:val="0096439D"/>
    <w:rsid w:val="00967491"/>
    <w:rsid w:val="0097240E"/>
    <w:rsid w:val="00974BDD"/>
    <w:rsid w:val="0097578C"/>
    <w:rsid w:val="009764E5"/>
    <w:rsid w:val="00977DDB"/>
    <w:rsid w:val="009924B9"/>
    <w:rsid w:val="00996F9F"/>
    <w:rsid w:val="009A44B7"/>
    <w:rsid w:val="009C02FD"/>
    <w:rsid w:val="009C14B3"/>
    <w:rsid w:val="009C1B1A"/>
    <w:rsid w:val="009C2091"/>
    <w:rsid w:val="009C2D84"/>
    <w:rsid w:val="009C3695"/>
    <w:rsid w:val="009C4755"/>
    <w:rsid w:val="009C4E28"/>
    <w:rsid w:val="009C691D"/>
    <w:rsid w:val="009D1F20"/>
    <w:rsid w:val="009D6078"/>
    <w:rsid w:val="009E2DDC"/>
    <w:rsid w:val="009E3BAD"/>
    <w:rsid w:val="009E5E38"/>
    <w:rsid w:val="009E761A"/>
    <w:rsid w:val="009F1464"/>
    <w:rsid w:val="009F5428"/>
    <w:rsid w:val="009F6F97"/>
    <w:rsid w:val="00A016A9"/>
    <w:rsid w:val="00A05F7B"/>
    <w:rsid w:val="00A06149"/>
    <w:rsid w:val="00A0787E"/>
    <w:rsid w:val="00A165CC"/>
    <w:rsid w:val="00A22E1B"/>
    <w:rsid w:val="00A23C30"/>
    <w:rsid w:val="00A3110D"/>
    <w:rsid w:val="00A41623"/>
    <w:rsid w:val="00A417A8"/>
    <w:rsid w:val="00A41DA9"/>
    <w:rsid w:val="00A43B59"/>
    <w:rsid w:val="00A4467D"/>
    <w:rsid w:val="00A46057"/>
    <w:rsid w:val="00A47EF9"/>
    <w:rsid w:val="00A53965"/>
    <w:rsid w:val="00A670E4"/>
    <w:rsid w:val="00A70EFA"/>
    <w:rsid w:val="00A77674"/>
    <w:rsid w:val="00A919F9"/>
    <w:rsid w:val="00A92882"/>
    <w:rsid w:val="00A93BC3"/>
    <w:rsid w:val="00AA37BC"/>
    <w:rsid w:val="00AA3F57"/>
    <w:rsid w:val="00AB012B"/>
    <w:rsid w:val="00AB41A1"/>
    <w:rsid w:val="00AB5BB5"/>
    <w:rsid w:val="00AC3AAA"/>
    <w:rsid w:val="00AC49E2"/>
    <w:rsid w:val="00AC75DB"/>
    <w:rsid w:val="00AD03B2"/>
    <w:rsid w:val="00AD2592"/>
    <w:rsid w:val="00AD44B0"/>
    <w:rsid w:val="00AE1EAC"/>
    <w:rsid w:val="00AE318F"/>
    <w:rsid w:val="00AE6ABB"/>
    <w:rsid w:val="00AE7341"/>
    <w:rsid w:val="00AF003F"/>
    <w:rsid w:val="00AF699B"/>
    <w:rsid w:val="00AF7603"/>
    <w:rsid w:val="00AF77AA"/>
    <w:rsid w:val="00B11392"/>
    <w:rsid w:val="00B122A7"/>
    <w:rsid w:val="00B13568"/>
    <w:rsid w:val="00B14EC4"/>
    <w:rsid w:val="00B15923"/>
    <w:rsid w:val="00B20BE2"/>
    <w:rsid w:val="00B21603"/>
    <w:rsid w:val="00B25A13"/>
    <w:rsid w:val="00B25A9B"/>
    <w:rsid w:val="00B27192"/>
    <w:rsid w:val="00B300B8"/>
    <w:rsid w:val="00B47E10"/>
    <w:rsid w:val="00B50547"/>
    <w:rsid w:val="00B52A7F"/>
    <w:rsid w:val="00B53EA1"/>
    <w:rsid w:val="00B6038B"/>
    <w:rsid w:val="00B651AE"/>
    <w:rsid w:val="00B655D4"/>
    <w:rsid w:val="00B7087E"/>
    <w:rsid w:val="00B71FBD"/>
    <w:rsid w:val="00B7345C"/>
    <w:rsid w:val="00B75418"/>
    <w:rsid w:val="00B801DC"/>
    <w:rsid w:val="00B84773"/>
    <w:rsid w:val="00B87C78"/>
    <w:rsid w:val="00B91212"/>
    <w:rsid w:val="00BA4018"/>
    <w:rsid w:val="00BA5E56"/>
    <w:rsid w:val="00BA5E6C"/>
    <w:rsid w:val="00BA786C"/>
    <w:rsid w:val="00BC16FD"/>
    <w:rsid w:val="00BC24BF"/>
    <w:rsid w:val="00BC31E0"/>
    <w:rsid w:val="00BC390B"/>
    <w:rsid w:val="00BC3DF3"/>
    <w:rsid w:val="00BC4ADB"/>
    <w:rsid w:val="00BC535A"/>
    <w:rsid w:val="00BD5A92"/>
    <w:rsid w:val="00BD5F78"/>
    <w:rsid w:val="00BE4389"/>
    <w:rsid w:val="00BF00C9"/>
    <w:rsid w:val="00BF3264"/>
    <w:rsid w:val="00BF36B1"/>
    <w:rsid w:val="00BF3F24"/>
    <w:rsid w:val="00BF54DC"/>
    <w:rsid w:val="00BF5CA9"/>
    <w:rsid w:val="00BF647C"/>
    <w:rsid w:val="00C0019D"/>
    <w:rsid w:val="00C03340"/>
    <w:rsid w:val="00C06AA7"/>
    <w:rsid w:val="00C12BE8"/>
    <w:rsid w:val="00C13BE6"/>
    <w:rsid w:val="00C1550A"/>
    <w:rsid w:val="00C15DC7"/>
    <w:rsid w:val="00C20621"/>
    <w:rsid w:val="00C20DED"/>
    <w:rsid w:val="00C26439"/>
    <w:rsid w:val="00C2658C"/>
    <w:rsid w:val="00C33440"/>
    <w:rsid w:val="00C33BBF"/>
    <w:rsid w:val="00C361A4"/>
    <w:rsid w:val="00C37AA6"/>
    <w:rsid w:val="00C40E53"/>
    <w:rsid w:val="00C42197"/>
    <w:rsid w:val="00C432BA"/>
    <w:rsid w:val="00C52DF3"/>
    <w:rsid w:val="00C576D2"/>
    <w:rsid w:val="00C61B6A"/>
    <w:rsid w:val="00C64CED"/>
    <w:rsid w:val="00C709A6"/>
    <w:rsid w:val="00C749AB"/>
    <w:rsid w:val="00C93DD2"/>
    <w:rsid w:val="00CA61BC"/>
    <w:rsid w:val="00CB0432"/>
    <w:rsid w:val="00CB28AC"/>
    <w:rsid w:val="00CB5D9C"/>
    <w:rsid w:val="00CB7E5E"/>
    <w:rsid w:val="00CC17FE"/>
    <w:rsid w:val="00CC513E"/>
    <w:rsid w:val="00CD1ADD"/>
    <w:rsid w:val="00CD2783"/>
    <w:rsid w:val="00CD4721"/>
    <w:rsid w:val="00CE4F4F"/>
    <w:rsid w:val="00CF01B2"/>
    <w:rsid w:val="00CF41B0"/>
    <w:rsid w:val="00CF4A50"/>
    <w:rsid w:val="00CF69C3"/>
    <w:rsid w:val="00D0056C"/>
    <w:rsid w:val="00D04EB7"/>
    <w:rsid w:val="00D1242B"/>
    <w:rsid w:val="00D135A6"/>
    <w:rsid w:val="00D13D46"/>
    <w:rsid w:val="00D14433"/>
    <w:rsid w:val="00D15042"/>
    <w:rsid w:val="00D17E97"/>
    <w:rsid w:val="00D22FDA"/>
    <w:rsid w:val="00D3093B"/>
    <w:rsid w:val="00D33A9B"/>
    <w:rsid w:val="00D35335"/>
    <w:rsid w:val="00D502EB"/>
    <w:rsid w:val="00D51B1F"/>
    <w:rsid w:val="00D64E2C"/>
    <w:rsid w:val="00D6553E"/>
    <w:rsid w:val="00D669BE"/>
    <w:rsid w:val="00D77242"/>
    <w:rsid w:val="00D82722"/>
    <w:rsid w:val="00D83C24"/>
    <w:rsid w:val="00D8571D"/>
    <w:rsid w:val="00D87BC2"/>
    <w:rsid w:val="00D93922"/>
    <w:rsid w:val="00D95AF2"/>
    <w:rsid w:val="00D95E2C"/>
    <w:rsid w:val="00DA3EC8"/>
    <w:rsid w:val="00DA6B28"/>
    <w:rsid w:val="00DA77E7"/>
    <w:rsid w:val="00DB0234"/>
    <w:rsid w:val="00DB4171"/>
    <w:rsid w:val="00DC0A7C"/>
    <w:rsid w:val="00DC2D31"/>
    <w:rsid w:val="00DC6B1C"/>
    <w:rsid w:val="00DD29C6"/>
    <w:rsid w:val="00DD3E37"/>
    <w:rsid w:val="00DE14A3"/>
    <w:rsid w:val="00DE369F"/>
    <w:rsid w:val="00DE5254"/>
    <w:rsid w:val="00DE721B"/>
    <w:rsid w:val="00DE781D"/>
    <w:rsid w:val="00DE7A8F"/>
    <w:rsid w:val="00DF0468"/>
    <w:rsid w:val="00DF36C8"/>
    <w:rsid w:val="00DF3C70"/>
    <w:rsid w:val="00DF6E18"/>
    <w:rsid w:val="00DF6FF3"/>
    <w:rsid w:val="00DF73BC"/>
    <w:rsid w:val="00E00B35"/>
    <w:rsid w:val="00E02720"/>
    <w:rsid w:val="00E07772"/>
    <w:rsid w:val="00E10A1B"/>
    <w:rsid w:val="00E11973"/>
    <w:rsid w:val="00E13F7B"/>
    <w:rsid w:val="00E151AA"/>
    <w:rsid w:val="00E1561F"/>
    <w:rsid w:val="00E1577E"/>
    <w:rsid w:val="00E209D2"/>
    <w:rsid w:val="00E30E1E"/>
    <w:rsid w:val="00E341D1"/>
    <w:rsid w:val="00E352F3"/>
    <w:rsid w:val="00E4087F"/>
    <w:rsid w:val="00E43FE2"/>
    <w:rsid w:val="00E46AE9"/>
    <w:rsid w:val="00E52DF5"/>
    <w:rsid w:val="00E55B48"/>
    <w:rsid w:val="00E56CC0"/>
    <w:rsid w:val="00E57960"/>
    <w:rsid w:val="00E642BF"/>
    <w:rsid w:val="00E64654"/>
    <w:rsid w:val="00E6652F"/>
    <w:rsid w:val="00E7161D"/>
    <w:rsid w:val="00E71E4E"/>
    <w:rsid w:val="00E73377"/>
    <w:rsid w:val="00E74A6D"/>
    <w:rsid w:val="00E74B1B"/>
    <w:rsid w:val="00E769B6"/>
    <w:rsid w:val="00E82C6F"/>
    <w:rsid w:val="00E844CC"/>
    <w:rsid w:val="00E86EED"/>
    <w:rsid w:val="00E924EF"/>
    <w:rsid w:val="00E93A71"/>
    <w:rsid w:val="00EA0A09"/>
    <w:rsid w:val="00EA64D2"/>
    <w:rsid w:val="00EB03D6"/>
    <w:rsid w:val="00EB6157"/>
    <w:rsid w:val="00EC4D59"/>
    <w:rsid w:val="00EC5531"/>
    <w:rsid w:val="00ED6320"/>
    <w:rsid w:val="00EE15D5"/>
    <w:rsid w:val="00EE2020"/>
    <w:rsid w:val="00EE6138"/>
    <w:rsid w:val="00F0184E"/>
    <w:rsid w:val="00F04570"/>
    <w:rsid w:val="00F166F7"/>
    <w:rsid w:val="00F20FF5"/>
    <w:rsid w:val="00F239BA"/>
    <w:rsid w:val="00F255A5"/>
    <w:rsid w:val="00F2743C"/>
    <w:rsid w:val="00F34F4C"/>
    <w:rsid w:val="00F3536A"/>
    <w:rsid w:val="00F36C0D"/>
    <w:rsid w:val="00F4185E"/>
    <w:rsid w:val="00F45906"/>
    <w:rsid w:val="00F46C00"/>
    <w:rsid w:val="00F46D9B"/>
    <w:rsid w:val="00F4734F"/>
    <w:rsid w:val="00F55DBF"/>
    <w:rsid w:val="00F60902"/>
    <w:rsid w:val="00F715EB"/>
    <w:rsid w:val="00F7427C"/>
    <w:rsid w:val="00F750E1"/>
    <w:rsid w:val="00F759AD"/>
    <w:rsid w:val="00F76D27"/>
    <w:rsid w:val="00F77C83"/>
    <w:rsid w:val="00F77E52"/>
    <w:rsid w:val="00F81004"/>
    <w:rsid w:val="00F85754"/>
    <w:rsid w:val="00FA317C"/>
    <w:rsid w:val="00FA3278"/>
    <w:rsid w:val="00FA3DB7"/>
    <w:rsid w:val="00FA6ED7"/>
    <w:rsid w:val="00FB1509"/>
    <w:rsid w:val="00FC1987"/>
    <w:rsid w:val="00FC5CB0"/>
    <w:rsid w:val="00FD1514"/>
    <w:rsid w:val="00FD2EE2"/>
    <w:rsid w:val="00FD5038"/>
    <w:rsid w:val="00FD50E6"/>
    <w:rsid w:val="00FD518A"/>
    <w:rsid w:val="00FE01FE"/>
    <w:rsid w:val="00FE320F"/>
    <w:rsid w:val="00FE5B3E"/>
    <w:rsid w:val="00FF4C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1973"/>
    <w:rPr>
      <w:sz w:val="24"/>
      <w:szCs w:val="24"/>
    </w:rPr>
  </w:style>
  <w:style w:type="paragraph" w:styleId="Nadpis1">
    <w:name w:val="heading 1"/>
    <w:basedOn w:val="Normln"/>
    <w:next w:val="Normln"/>
    <w:link w:val="Nadpis1Char"/>
    <w:uiPriority w:val="9"/>
    <w:qFormat/>
    <w:rsid w:val="009C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BF00C9"/>
    <w:pPr>
      <w:keepNext/>
      <w:spacing w:before="240" w:after="60"/>
      <w:outlineLvl w:val="1"/>
    </w:pPr>
    <w:rPr>
      <w:rFonts w:ascii="Cambria" w:hAnsi="Cambria"/>
      <w:b/>
      <w:i/>
      <w:sz w:val="28"/>
    </w:rPr>
  </w:style>
  <w:style w:type="paragraph" w:styleId="Nadpis3">
    <w:name w:val="heading 3"/>
    <w:basedOn w:val="Normln"/>
    <w:next w:val="Normln"/>
    <w:link w:val="Nadpis3Char"/>
    <w:qFormat/>
    <w:rsid w:val="007475CC"/>
    <w:pPr>
      <w:keepNext/>
      <w:spacing w:before="240" w:after="60"/>
      <w:outlineLvl w:val="2"/>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BF00C9"/>
    <w:rPr>
      <w:rFonts w:ascii="Cambria" w:hAnsi="Cambria"/>
      <w:b/>
      <w:i/>
      <w:sz w:val="28"/>
      <w:szCs w:val="24"/>
      <w:lang w:val="cs-CZ" w:eastAsia="cs-CZ" w:bidi="ar-SA"/>
    </w:rPr>
  </w:style>
  <w:style w:type="paragraph" w:customStyle="1" w:styleId="Odstavecseseznamem1">
    <w:name w:val="Odstavec se seznamem1"/>
    <w:basedOn w:val="Normln"/>
    <w:rsid w:val="00BF00C9"/>
    <w:pPr>
      <w:ind w:left="720"/>
    </w:pPr>
  </w:style>
  <w:style w:type="paragraph" w:styleId="Textkomente">
    <w:name w:val="annotation text"/>
    <w:basedOn w:val="Normln"/>
    <w:link w:val="TextkomenteChar"/>
    <w:semiHidden/>
    <w:rsid w:val="00E71E4E"/>
    <w:rPr>
      <w:sz w:val="20"/>
      <w:szCs w:val="20"/>
    </w:rPr>
  </w:style>
  <w:style w:type="character" w:customStyle="1" w:styleId="TextkomenteChar">
    <w:name w:val="Text komentáře Char"/>
    <w:link w:val="Textkomente"/>
    <w:rsid w:val="00E71E4E"/>
    <w:rPr>
      <w:lang w:val="cs-CZ" w:eastAsia="cs-CZ" w:bidi="ar-SA"/>
    </w:rPr>
  </w:style>
  <w:style w:type="character" w:styleId="Odkaznakoment">
    <w:name w:val="annotation reference"/>
    <w:semiHidden/>
    <w:rsid w:val="00E71E4E"/>
    <w:rPr>
      <w:sz w:val="16"/>
    </w:rPr>
  </w:style>
  <w:style w:type="paragraph" w:styleId="Textbubliny">
    <w:name w:val="Balloon Text"/>
    <w:basedOn w:val="Normln"/>
    <w:semiHidden/>
    <w:rsid w:val="00E71E4E"/>
    <w:rPr>
      <w:rFonts w:ascii="Tahoma" w:hAnsi="Tahoma" w:cs="Tahoma"/>
      <w:sz w:val="16"/>
      <w:szCs w:val="16"/>
    </w:rPr>
  </w:style>
  <w:style w:type="numbering" w:customStyle="1" w:styleId="Styl3">
    <w:name w:val="Styl3"/>
    <w:uiPriority w:val="99"/>
    <w:rsid w:val="007475CC"/>
    <w:pPr>
      <w:numPr>
        <w:numId w:val="1"/>
      </w:numPr>
    </w:pPr>
  </w:style>
  <w:style w:type="character" w:customStyle="1" w:styleId="Nadpis3Char">
    <w:name w:val="Nadpis 3 Char"/>
    <w:link w:val="Nadpis3"/>
    <w:rsid w:val="007475CC"/>
    <w:rPr>
      <w:rFonts w:ascii="Arial" w:hAnsi="Arial"/>
      <w:b/>
      <w:sz w:val="26"/>
      <w:szCs w:val="24"/>
      <w:lang w:val="cs-CZ" w:eastAsia="cs-CZ" w:bidi="ar-SA"/>
    </w:rPr>
  </w:style>
  <w:style w:type="table" w:styleId="Mkatabulky">
    <w:name w:val="Table Grid"/>
    <w:basedOn w:val="Normlntabulka"/>
    <w:rsid w:val="00F75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486DF4"/>
    <w:pPr>
      <w:ind w:left="720"/>
      <w:contextualSpacing/>
    </w:pPr>
  </w:style>
  <w:style w:type="paragraph" w:styleId="Pedmtkomente">
    <w:name w:val="annotation subject"/>
    <w:basedOn w:val="Textkomente"/>
    <w:next w:val="Textkomente"/>
    <w:semiHidden/>
    <w:rsid w:val="00913DF0"/>
    <w:rPr>
      <w:b/>
      <w:bCs/>
    </w:rPr>
  </w:style>
  <w:style w:type="numbering" w:customStyle="1" w:styleId="Styl1">
    <w:name w:val="Styl1"/>
    <w:rsid w:val="00E352F3"/>
    <w:pPr>
      <w:numPr>
        <w:numId w:val="2"/>
      </w:numPr>
    </w:pPr>
  </w:style>
  <w:style w:type="paragraph" w:styleId="Zhlav">
    <w:name w:val="header"/>
    <w:basedOn w:val="Normln"/>
    <w:link w:val="ZhlavChar"/>
    <w:uiPriority w:val="99"/>
    <w:unhideWhenUsed/>
    <w:rsid w:val="00494F79"/>
    <w:pPr>
      <w:tabs>
        <w:tab w:val="center" w:pos="4536"/>
        <w:tab w:val="right" w:pos="9072"/>
      </w:tabs>
    </w:pPr>
  </w:style>
  <w:style w:type="character" w:customStyle="1" w:styleId="ZhlavChar">
    <w:name w:val="Záhlaví Char"/>
    <w:link w:val="Zhlav"/>
    <w:uiPriority w:val="99"/>
    <w:rsid w:val="00494F79"/>
    <w:rPr>
      <w:sz w:val="24"/>
      <w:szCs w:val="24"/>
    </w:rPr>
  </w:style>
  <w:style w:type="paragraph" w:styleId="Zpat">
    <w:name w:val="footer"/>
    <w:basedOn w:val="Normln"/>
    <w:link w:val="ZpatChar"/>
    <w:uiPriority w:val="99"/>
    <w:unhideWhenUsed/>
    <w:rsid w:val="00494F79"/>
    <w:pPr>
      <w:tabs>
        <w:tab w:val="center" w:pos="4536"/>
        <w:tab w:val="right" w:pos="9072"/>
      </w:tabs>
    </w:pPr>
  </w:style>
  <w:style w:type="character" w:customStyle="1" w:styleId="ZpatChar">
    <w:name w:val="Zápatí Char"/>
    <w:link w:val="Zpat"/>
    <w:uiPriority w:val="99"/>
    <w:rsid w:val="00494F79"/>
    <w:rPr>
      <w:sz w:val="24"/>
      <w:szCs w:val="24"/>
    </w:rPr>
  </w:style>
  <w:style w:type="character" w:styleId="Znakapoznpodarou">
    <w:name w:val="footnote reference"/>
    <w:semiHidden/>
    <w:rsid w:val="00943E38"/>
    <w:rPr>
      <w:rFonts w:cs="Times New Roman"/>
      <w:vertAlign w:val="superscript"/>
    </w:rPr>
  </w:style>
  <w:style w:type="paragraph" w:styleId="Textpoznpodarou">
    <w:name w:val="footnote text"/>
    <w:basedOn w:val="Normln"/>
    <w:link w:val="TextpoznpodarouChar"/>
    <w:semiHidden/>
    <w:rsid w:val="00943E38"/>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semiHidden/>
    <w:rsid w:val="00943E38"/>
  </w:style>
  <w:style w:type="paragraph" w:customStyle="1" w:styleId="Odstavecseseznamem10">
    <w:name w:val="Odstavec se seznamem1"/>
    <w:basedOn w:val="Normln"/>
    <w:rsid w:val="00DB0234"/>
    <w:pPr>
      <w:ind w:left="720"/>
    </w:pPr>
  </w:style>
  <w:style w:type="table" w:styleId="Stednmka3zvraznn1">
    <w:name w:val="Medium Grid 3 Accent 1"/>
    <w:basedOn w:val="Normlntabulka"/>
    <w:uiPriority w:val="69"/>
    <w:rsid w:val="006B25C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mavtabulkasmkou5zvraznn11">
    <w:name w:val="Tmavá tabulka s mřížkou 5 – zvýraznění 11"/>
    <w:basedOn w:val="Normlntabulka"/>
    <w:uiPriority w:val="50"/>
    <w:rsid w:val="00200DA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adpis1Char">
    <w:name w:val="Nadpis 1 Char"/>
    <w:basedOn w:val="Standardnpsmoodstavce"/>
    <w:link w:val="Nadpis1"/>
    <w:uiPriority w:val="9"/>
    <w:rsid w:val="009C1B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693155">
      <w:bodyDiv w:val="1"/>
      <w:marLeft w:val="0"/>
      <w:marRight w:val="0"/>
      <w:marTop w:val="0"/>
      <w:marBottom w:val="0"/>
      <w:divBdr>
        <w:top w:val="none" w:sz="0" w:space="0" w:color="auto"/>
        <w:left w:val="none" w:sz="0" w:space="0" w:color="auto"/>
        <w:bottom w:val="none" w:sz="0" w:space="0" w:color="auto"/>
        <w:right w:val="none" w:sz="0" w:space="0" w:color="auto"/>
      </w:divBdr>
    </w:div>
    <w:div w:id="80832176">
      <w:bodyDiv w:val="1"/>
      <w:marLeft w:val="0"/>
      <w:marRight w:val="0"/>
      <w:marTop w:val="0"/>
      <w:marBottom w:val="0"/>
      <w:divBdr>
        <w:top w:val="none" w:sz="0" w:space="0" w:color="auto"/>
        <w:left w:val="none" w:sz="0" w:space="0" w:color="auto"/>
        <w:bottom w:val="none" w:sz="0" w:space="0" w:color="auto"/>
        <w:right w:val="none" w:sz="0" w:space="0" w:color="auto"/>
      </w:divBdr>
    </w:div>
    <w:div w:id="442455107">
      <w:bodyDiv w:val="1"/>
      <w:marLeft w:val="0"/>
      <w:marRight w:val="0"/>
      <w:marTop w:val="0"/>
      <w:marBottom w:val="0"/>
      <w:divBdr>
        <w:top w:val="none" w:sz="0" w:space="0" w:color="auto"/>
        <w:left w:val="none" w:sz="0" w:space="0" w:color="auto"/>
        <w:bottom w:val="none" w:sz="0" w:space="0" w:color="auto"/>
        <w:right w:val="none" w:sz="0" w:space="0" w:color="auto"/>
      </w:divBdr>
    </w:div>
    <w:div w:id="453914650">
      <w:bodyDiv w:val="1"/>
      <w:marLeft w:val="0"/>
      <w:marRight w:val="0"/>
      <w:marTop w:val="0"/>
      <w:marBottom w:val="0"/>
      <w:divBdr>
        <w:top w:val="none" w:sz="0" w:space="0" w:color="auto"/>
        <w:left w:val="none" w:sz="0" w:space="0" w:color="auto"/>
        <w:bottom w:val="none" w:sz="0" w:space="0" w:color="auto"/>
        <w:right w:val="none" w:sz="0" w:space="0" w:color="auto"/>
      </w:divBdr>
    </w:div>
    <w:div w:id="586378043">
      <w:bodyDiv w:val="1"/>
      <w:marLeft w:val="0"/>
      <w:marRight w:val="0"/>
      <w:marTop w:val="0"/>
      <w:marBottom w:val="0"/>
      <w:divBdr>
        <w:top w:val="none" w:sz="0" w:space="0" w:color="auto"/>
        <w:left w:val="none" w:sz="0" w:space="0" w:color="auto"/>
        <w:bottom w:val="none" w:sz="0" w:space="0" w:color="auto"/>
        <w:right w:val="none" w:sz="0" w:space="0" w:color="auto"/>
      </w:divBdr>
    </w:div>
    <w:div w:id="1008950520">
      <w:bodyDiv w:val="1"/>
      <w:marLeft w:val="0"/>
      <w:marRight w:val="0"/>
      <w:marTop w:val="0"/>
      <w:marBottom w:val="0"/>
      <w:divBdr>
        <w:top w:val="none" w:sz="0" w:space="0" w:color="auto"/>
        <w:left w:val="none" w:sz="0" w:space="0" w:color="auto"/>
        <w:bottom w:val="none" w:sz="0" w:space="0" w:color="auto"/>
        <w:right w:val="none" w:sz="0" w:space="0" w:color="auto"/>
      </w:divBdr>
    </w:div>
    <w:div w:id="1027632939">
      <w:bodyDiv w:val="1"/>
      <w:marLeft w:val="0"/>
      <w:marRight w:val="0"/>
      <w:marTop w:val="0"/>
      <w:marBottom w:val="0"/>
      <w:divBdr>
        <w:top w:val="none" w:sz="0" w:space="0" w:color="auto"/>
        <w:left w:val="none" w:sz="0" w:space="0" w:color="auto"/>
        <w:bottom w:val="none" w:sz="0" w:space="0" w:color="auto"/>
        <w:right w:val="none" w:sz="0" w:space="0" w:color="auto"/>
      </w:divBdr>
    </w:div>
    <w:div w:id="1150900635">
      <w:bodyDiv w:val="1"/>
      <w:marLeft w:val="0"/>
      <w:marRight w:val="0"/>
      <w:marTop w:val="0"/>
      <w:marBottom w:val="0"/>
      <w:divBdr>
        <w:top w:val="none" w:sz="0" w:space="0" w:color="auto"/>
        <w:left w:val="none" w:sz="0" w:space="0" w:color="auto"/>
        <w:bottom w:val="none" w:sz="0" w:space="0" w:color="auto"/>
        <w:right w:val="none" w:sz="0" w:space="0" w:color="auto"/>
      </w:divBdr>
    </w:div>
    <w:div w:id="1354575764">
      <w:bodyDiv w:val="1"/>
      <w:marLeft w:val="0"/>
      <w:marRight w:val="0"/>
      <w:marTop w:val="0"/>
      <w:marBottom w:val="0"/>
      <w:divBdr>
        <w:top w:val="none" w:sz="0" w:space="0" w:color="auto"/>
        <w:left w:val="none" w:sz="0" w:space="0" w:color="auto"/>
        <w:bottom w:val="none" w:sz="0" w:space="0" w:color="auto"/>
        <w:right w:val="none" w:sz="0" w:space="0" w:color="auto"/>
      </w:divBdr>
    </w:div>
    <w:div w:id="1458639084">
      <w:bodyDiv w:val="1"/>
      <w:marLeft w:val="0"/>
      <w:marRight w:val="0"/>
      <w:marTop w:val="0"/>
      <w:marBottom w:val="0"/>
      <w:divBdr>
        <w:top w:val="none" w:sz="0" w:space="0" w:color="auto"/>
        <w:left w:val="none" w:sz="0" w:space="0" w:color="auto"/>
        <w:bottom w:val="none" w:sz="0" w:space="0" w:color="auto"/>
        <w:right w:val="none" w:sz="0" w:space="0" w:color="auto"/>
      </w:divBdr>
    </w:div>
    <w:div w:id="1567297502">
      <w:bodyDiv w:val="1"/>
      <w:marLeft w:val="0"/>
      <w:marRight w:val="0"/>
      <w:marTop w:val="0"/>
      <w:marBottom w:val="0"/>
      <w:divBdr>
        <w:top w:val="none" w:sz="0" w:space="0" w:color="auto"/>
        <w:left w:val="none" w:sz="0" w:space="0" w:color="auto"/>
        <w:bottom w:val="none" w:sz="0" w:space="0" w:color="auto"/>
        <w:right w:val="none" w:sz="0" w:space="0" w:color="auto"/>
      </w:divBdr>
    </w:div>
    <w:div w:id="1625579621">
      <w:bodyDiv w:val="1"/>
      <w:marLeft w:val="0"/>
      <w:marRight w:val="0"/>
      <w:marTop w:val="0"/>
      <w:marBottom w:val="0"/>
      <w:divBdr>
        <w:top w:val="none" w:sz="0" w:space="0" w:color="auto"/>
        <w:left w:val="none" w:sz="0" w:space="0" w:color="auto"/>
        <w:bottom w:val="none" w:sz="0" w:space="0" w:color="auto"/>
        <w:right w:val="none" w:sz="0" w:space="0" w:color="auto"/>
      </w:divBdr>
    </w:div>
    <w:div w:id="2042318755">
      <w:bodyDiv w:val="1"/>
      <w:marLeft w:val="0"/>
      <w:marRight w:val="0"/>
      <w:marTop w:val="0"/>
      <w:marBottom w:val="0"/>
      <w:divBdr>
        <w:top w:val="none" w:sz="0" w:space="0" w:color="auto"/>
        <w:left w:val="none" w:sz="0" w:space="0" w:color="auto"/>
        <w:bottom w:val="none" w:sz="0" w:space="0" w:color="auto"/>
        <w:right w:val="none" w:sz="0" w:space="0" w:color="auto"/>
      </w:divBdr>
    </w:div>
    <w:div w:id="21058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A756-BEF7-469A-9B0B-59EB709E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3466</Words>
  <Characters>20450</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Pokusné ověřování změn v pohybovém a výživovém režimu žáků základních škol</vt:lpstr>
    </vt:vector>
  </TitlesOfParts>
  <Company>PedF MU</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Pokusné ověřování změn v pohybovém a výživovém režimu žáků základních škol</dc:title>
  <dc:creator>Vladislav Mužík</dc:creator>
  <cp:lastModifiedBy>petr.koubek</cp:lastModifiedBy>
  <cp:revision>2</cp:revision>
  <cp:lastPrinted>2016-09-09T08:45:00Z</cp:lastPrinted>
  <dcterms:created xsi:type="dcterms:W3CDTF">2017-11-10T09:42:00Z</dcterms:created>
  <dcterms:modified xsi:type="dcterms:W3CDTF">2017-11-10T09:42:00Z</dcterms:modified>
</cp:coreProperties>
</file>